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4" w:type="dxa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0"/>
        <w:gridCol w:w="2552"/>
        <w:gridCol w:w="4172"/>
      </w:tblGrid>
      <w:tr w:rsidR="00C66DB5" w:rsidRPr="0024304B" w:rsidTr="00C66DB5">
        <w:tc>
          <w:tcPr>
            <w:tcW w:w="3550" w:type="dxa"/>
            <w:tcBorders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DB5" w:rsidRPr="00D463CC" w:rsidRDefault="00C66DB5" w:rsidP="000A083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Российская</w:t>
            </w:r>
            <w:proofErr w:type="spellEnd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Федерация</w:t>
            </w:r>
            <w:proofErr w:type="spellEnd"/>
          </w:p>
          <w:p w:rsidR="00C66DB5" w:rsidRPr="00D463CC" w:rsidRDefault="00C66DB5" w:rsidP="000A083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Республика</w:t>
            </w:r>
            <w:proofErr w:type="spellEnd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Адыгея</w:t>
            </w:r>
            <w:proofErr w:type="spellEnd"/>
          </w:p>
          <w:p w:rsidR="00C66DB5" w:rsidRPr="00D463CC" w:rsidRDefault="00C66DB5" w:rsidP="000A083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Администрация</w:t>
            </w:r>
            <w:proofErr w:type="spellEnd"/>
          </w:p>
          <w:p w:rsidR="00C66DB5" w:rsidRPr="00D463CC" w:rsidRDefault="00C66DB5" w:rsidP="000A083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муниципального</w:t>
            </w:r>
            <w:proofErr w:type="spellEnd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образования</w:t>
            </w:r>
            <w:proofErr w:type="spellEnd"/>
          </w:p>
          <w:p w:rsidR="00C66DB5" w:rsidRPr="00D463CC" w:rsidRDefault="00C66DB5" w:rsidP="000A083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</w:pPr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 xml:space="preserve">«Тимирязевское </w:t>
            </w:r>
            <w:proofErr w:type="spellStart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сельское</w:t>
            </w:r>
            <w:proofErr w:type="spellEnd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поселение</w:t>
            </w:r>
            <w:proofErr w:type="spellEnd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»</w:t>
            </w:r>
          </w:p>
          <w:p w:rsidR="00C66DB5" w:rsidRPr="00D463CC" w:rsidRDefault="00C66DB5" w:rsidP="000A083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</w:pPr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 xml:space="preserve">385746, </w:t>
            </w:r>
            <w:proofErr w:type="spellStart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п.Тимирязева</w:t>
            </w:r>
            <w:proofErr w:type="spellEnd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,</w:t>
            </w:r>
          </w:p>
          <w:p w:rsidR="00C66DB5" w:rsidRPr="00D463CC" w:rsidRDefault="00C66DB5" w:rsidP="000A083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ул.Садовая</w:t>
            </w:r>
            <w:proofErr w:type="spellEnd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, 14</w:t>
            </w:r>
          </w:p>
        </w:tc>
        <w:tc>
          <w:tcPr>
            <w:tcW w:w="2552" w:type="dxa"/>
            <w:tcBorders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DB5" w:rsidRPr="00D463CC" w:rsidRDefault="00C66DB5" w:rsidP="000A083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49593D">
              <w:rPr>
                <w:rFonts w:eastAsia="Andale Sans UI" w:cs="Tahoma"/>
                <w:noProof/>
                <w:kern w:val="3"/>
                <w:sz w:val="20"/>
                <w:szCs w:val="20"/>
              </w:rPr>
              <w:drawing>
                <wp:inline distT="0" distB="0" distL="0" distR="0">
                  <wp:extent cx="9906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DB5" w:rsidRPr="00D463CC" w:rsidRDefault="00C66DB5" w:rsidP="000A083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Тел</w:t>
            </w:r>
            <w:proofErr w:type="spellEnd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.: 8(87777) 5-64-38</w:t>
            </w:r>
          </w:p>
        </w:tc>
        <w:tc>
          <w:tcPr>
            <w:tcW w:w="4172" w:type="dxa"/>
            <w:tcBorders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DB5" w:rsidRPr="00D463CC" w:rsidRDefault="00C66DB5" w:rsidP="000A083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Урысые</w:t>
            </w:r>
            <w:proofErr w:type="spellEnd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Федерациер</w:t>
            </w:r>
            <w:proofErr w:type="spellEnd"/>
          </w:p>
          <w:p w:rsidR="00C66DB5" w:rsidRPr="00D463CC" w:rsidRDefault="00C66DB5" w:rsidP="000A083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Адыгэ</w:t>
            </w:r>
            <w:proofErr w:type="spellEnd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Республик</w:t>
            </w:r>
            <w:proofErr w:type="spellEnd"/>
          </w:p>
          <w:p w:rsidR="00C66DB5" w:rsidRPr="00D463CC" w:rsidRDefault="00C66DB5" w:rsidP="000A083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</w:pPr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Тимирязевскэ</w:t>
            </w:r>
            <w:proofErr w:type="spellEnd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къуадже</w:t>
            </w:r>
            <w:proofErr w:type="spellEnd"/>
          </w:p>
          <w:p w:rsidR="00C66DB5" w:rsidRPr="00D463CC" w:rsidRDefault="00C66DB5" w:rsidP="000A083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псэуп</w:t>
            </w:r>
            <w:proofErr w:type="spellEnd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en-GB" w:eastAsia="ja-JP" w:bidi="fa-IR"/>
              </w:rPr>
              <w:t>I</w:t>
            </w:r>
            <w:proofErr w:type="spellStart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эм</w:t>
            </w:r>
            <w:proofErr w:type="spellEnd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 xml:space="preserve"> и </w:t>
            </w:r>
            <w:proofErr w:type="spellStart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гъэсэныгъэ</w:t>
            </w:r>
            <w:proofErr w:type="spellEnd"/>
          </w:p>
          <w:p w:rsidR="00C66DB5" w:rsidRPr="00D463CC" w:rsidRDefault="00C66DB5" w:rsidP="000A083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муниципальнэ</w:t>
            </w:r>
            <w:proofErr w:type="spellEnd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администрациер</w:t>
            </w:r>
            <w:proofErr w:type="spellEnd"/>
          </w:p>
          <w:p w:rsidR="00C66DB5" w:rsidRPr="00D463CC" w:rsidRDefault="00C66DB5" w:rsidP="000A083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</w:pPr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 xml:space="preserve">385746, </w:t>
            </w:r>
            <w:proofErr w:type="spellStart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п.Тимирязевэ</w:t>
            </w:r>
            <w:proofErr w:type="spellEnd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,</w:t>
            </w:r>
          </w:p>
          <w:p w:rsidR="00C66DB5" w:rsidRPr="00D463CC" w:rsidRDefault="00C66DB5" w:rsidP="000A083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ур.Садовэр</w:t>
            </w:r>
            <w:proofErr w:type="spellEnd"/>
            <w:r w:rsidRPr="00D463CC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, 14</w:t>
            </w:r>
          </w:p>
        </w:tc>
      </w:tr>
    </w:tbl>
    <w:p w:rsidR="00C66DB5" w:rsidRDefault="00C66DB5" w:rsidP="00C66DB5">
      <w:pPr>
        <w:widowControl w:val="0"/>
        <w:suppressAutoHyphens/>
        <w:autoSpaceDN w:val="0"/>
        <w:spacing w:line="200" w:lineRule="atLeast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</w:p>
    <w:p w:rsidR="00C66DB5" w:rsidRPr="00D463CC" w:rsidRDefault="00C66DB5" w:rsidP="00C66DB5">
      <w:pPr>
        <w:widowControl w:val="0"/>
        <w:suppressAutoHyphens/>
        <w:autoSpaceDN w:val="0"/>
        <w:spacing w:line="200" w:lineRule="atLeast"/>
        <w:jc w:val="center"/>
        <w:textAlignment w:val="baseline"/>
        <w:rPr>
          <w:rFonts w:eastAsia="Andale Sans UI"/>
          <w:b/>
          <w:kern w:val="3"/>
          <w:sz w:val="28"/>
          <w:szCs w:val="28"/>
          <w:lang w:val="de-DE" w:eastAsia="ja-JP" w:bidi="fa-IR"/>
        </w:rPr>
      </w:pPr>
      <w:r w:rsidRPr="00D463CC">
        <w:rPr>
          <w:rFonts w:eastAsia="Andale Sans UI"/>
          <w:b/>
          <w:kern w:val="3"/>
          <w:sz w:val="28"/>
          <w:szCs w:val="28"/>
          <w:lang w:eastAsia="ja-JP" w:bidi="fa-IR"/>
        </w:rPr>
        <w:t>ПОСТАНОВЛ</w:t>
      </w:r>
      <w:r w:rsidRPr="00D463CC">
        <w:rPr>
          <w:rFonts w:eastAsia="Andale Sans UI"/>
          <w:b/>
          <w:kern w:val="3"/>
          <w:sz w:val="28"/>
          <w:szCs w:val="28"/>
          <w:lang w:val="de-DE" w:eastAsia="ja-JP" w:bidi="fa-IR"/>
        </w:rPr>
        <w:t>ЕНИЕ</w:t>
      </w:r>
    </w:p>
    <w:p w:rsidR="00C66DB5" w:rsidRPr="00D463CC" w:rsidRDefault="00C66DB5" w:rsidP="00C66DB5">
      <w:pPr>
        <w:widowControl w:val="0"/>
        <w:suppressAutoHyphens/>
        <w:autoSpaceDN w:val="0"/>
        <w:spacing w:line="200" w:lineRule="atLeast"/>
        <w:jc w:val="center"/>
        <w:textAlignment w:val="baseline"/>
        <w:rPr>
          <w:rFonts w:eastAsia="Andale Sans UI"/>
          <w:b/>
          <w:kern w:val="3"/>
          <w:sz w:val="28"/>
          <w:szCs w:val="28"/>
          <w:lang w:val="de-DE" w:eastAsia="ja-JP" w:bidi="fa-IR"/>
        </w:rPr>
      </w:pPr>
      <w:r w:rsidRPr="00D463CC">
        <w:rPr>
          <w:rFonts w:eastAsia="Andale Sans UI"/>
          <w:b/>
          <w:kern w:val="3"/>
          <w:sz w:val="28"/>
          <w:szCs w:val="28"/>
          <w:lang w:val="de-DE" w:eastAsia="ja-JP" w:bidi="fa-IR"/>
        </w:rPr>
        <w:t>ГЛАВЫ МУНИЦИПАЛЬНОГО ОБРАЗОВАНИЯ</w:t>
      </w:r>
    </w:p>
    <w:p w:rsidR="00C66DB5" w:rsidRPr="00D463CC" w:rsidRDefault="00C66DB5" w:rsidP="00C66DB5">
      <w:pPr>
        <w:widowControl w:val="0"/>
        <w:suppressAutoHyphens/>
        <w:autoSpaceDN w:val="0"/>
        <w:spacing w:line="200" w:lineRule="atLeast"/>
        <w:jc w:val="center"/>
        <w:textAlignment w:val="baseline"/>
        <w:rPr>
          <w:rFonts w:eastAsia="Andale Sans UI"/>
          <w:b/>
          <w:kern w:val="3"/>
          <w:sz w:val="28"/>
          <w:szCs w:val="28"/>
          <w:lang w:val="de-DE" w:eastAsia="ja-JP" w:bidi="fa-IR"/>
        </w:rPr>
      </w:pPr>
      <w:r w:rsidRPr="00D463CC">
        <w:rPr>
          <w:rFonts w:eastAsia="Andale Sans UI"/>
          <w:b/>
          <w:kern w:val="3"/>
          <w:sz w:val="28"/>
          <w:szCs w:val="28"/>
          <w:lang w:val="de-DE" w:eastAsia="ja-JP" w:bidi="fa-IR"/>
        </w:rPr>
        <w:t>«ТИМИРЯЗЕВСКОЕ СЕЛЬСКОЕ ПОСЕЛЕНИЕ»</w:t>
      </w:r>
    </w:p>
    <w:p w:rsidR="00C66DB5" w:rsidRPr="0024304B" w:rsidRDefault="00C66DB5" w:rsidP="00C66DB5">
      <w:pPr>
        <w:widowControl w:val="0"/>
        <w:suppressAutoHyphens/>
        <w:autoSpaceDN w:val="0"/>
        <w:spacing w:line="200" w:lineRule="atLeast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24304B">
        <w:rPr>
          <w:rFonts w:eastAsia="Andale Sans UI"/>
          <w:kern w:val="3"/>
          <w:lang w:val="de-DE" w:eastAsia="ja-JP" w:bidi="fa-IR"/>
        </w:rPr>
        <w:t xml:space="preserve"> </w:t>
      </w:r>
    </w:p>
    <w:p w:rsidR="00C66DB5" w:rsidRPr="00961057" w:rsidRDefault="00C66DB5" w:rsidP="00C66DB5">
      <w:pPr>
        <w:widowControl w:val="0"/>
        <w:suppressAutoHyphens/>
        <w:autoSpaceDN w:val="0"/>
        <w:spacing w:line="200" w:lineRule="atLeast"/>
        <w:jc w:val="both"/>
        <w:textAlignment w:val="baseline"/>
        <w:rPr>
          <w:rFonts w:eastAsia="Andale Sans UI"/>
          <w:b/>
          <w:kern w:val="3"/>
          <w:u w:val="single"/>
          <w:lang w:eastAsia="ja-JP" w:bidi="fa-IR"/>
        </w:rPr>
      </w:pPr>
      <w:r w:rsidRPr="00961057">
        <w:rPr>
          <w:rFonts w:eastAsia="Andale Sans UI"/>
          <w:b/>
          <w:kern w:val="3"/>
          <w:lang w:eastAsia="ja-JP" w:bidi="fa-IR"/>
        </w:rPr>
        <w:t>От</w:t>
      </w:r>
      <w:r w:rsidRPr="00C66DB5">
        <w:rPr>
          <w:rFonts w:eastAsia="Andale Sans UI"/>
          <w:b/>
          <w:kern w:val="3"/>
          <w:lang w:eastAsia="ja-JP" w:bidi="fa-IR"/>
        </w:rPr>
        <w:t xml:space="preserve"> </w:t>
      </w:r>
      <w:r w:rsidR="00001972">
        <w:rPr>
          <w:rFonts w:eastAsia="Andale Sans UI"/>
          <w:b/>
          <w:kern w:val="3"/>
          <w:lang w:eastAsia="ja-JP" w:bidi="fa-IR"/>
        </w:rPr>
        <w:t>28.01.</w:t>
      </w:r>
      <w:r w:rsidRPr="00961057">
        <w:rPr>
          <w:rFonts w:eastAsia="Andale Sans UI"/>
          <w:b/>
          <w:kern w:val="3"/>
          <w:lang w:val="de-DE" w:eastAsia="ja-JP" w:bidi="fa-IR"/>
        </w:rPr>
        <w:t>20</w:t>
      </w:r>
      <w:r>
        <w:rPr>
          <w:rFonts w:eastAsia="Andale Sans UI"/>
          <w:b/>
          <w:kern w:val="3"/>
          <w:lang w:eastAsia="ja-JP" w:bidi="fa-IR"/>
        </w:rPr>
        <w:t>20</w:t>
      </w:r>
      <w:r w:rsidRPr="00961057">
        <w:rPr>
          <w:rFonts w:eastAsia="Andale Sans UI"/>
          <w:b/>
          <w:kern w:val="3"/>
          <w:lang w:val="de-DE" w:eastAsia="ja-JP" w:bidi="fa-IR"/>
        </w:rPr>
        <w:t xml:space="preserve"> г.                                  </w:t>
      </w:r>
      <w:r w:rsidRPr="00961057">
        <w:rPr>
          <w:rFonts w:eastAsia="Andale Sans UI"/>
          <w:b/>
          <w:kern w:val="3"/>
          <w:lang w:val="de-DE" w:eastAsia="ja-JP" w:bidi="fa-IR"/>
        </w:rPr>
        <w:tab/>
        <w:t xml:space="preserve">                                                          №</w:t>
      </w:r>
      <w:r w:rsidR="00001972">
        <w:rPr>
          <w:rFonts w:eastAsia="Andale Sans UI"/>
          <w:b/>
          <w:kern w:val="3"/>
          <w:lang w:eastAsia="ja-JP" w:bidi="fa-IR"/>
        </w:rPr>
        <w:t>10</w:t>
      </w:r>
    </w:p>
    <w:p w:rsidR="00C66DB5" w:rsidRDefault="00C66DB5" w:rsidP="00C66DB5">
      <w:pPr>
        <w:pStyle w:val="ConsPlusTitle"/>
        <w:jc w:val="center"/>
        <w:rPr>
          <w:sz w:val="20"/>
          <w:szCs w:val="20"/>
        </w:rPr>
      </w:pPr>
    </w:p>
    <w:p w:rsidR="00C66DB5" w:rsidRPr="00E12A8A" w:rsidRDefault="00C66DB5" w:rsidP="00C66DB5">
      <w:pPr>
        <w:ind w:right="4110"/>
        <w:rPr>
          <w:sz w:val="28"/>
          <w:szCs w:val="28"/>
        </w:rPr>
      </w:pPr>
      <w:r w:rsidRPr="00E12A8A">
        <w:rPr>
          <w:sz w:val="28"/>
          <w:szCs w:val="28"/>
        </w:rPr>
        <w:t>Об утверждении Порядка оценк</w:t>
      </w:r>
      <w:r>
        <w:rPr>
          <w:sz w:val="28"/>
          <w:szCs w:val="28"/>
        </w:rPr>
        <w:t xml:space="preserve">и налоговых расходов МО «Тимирязевское сельское поселение» </w:t>
      </w:r>
      <w:r w:rsidRPr="00E12A8A">
        <w:rPr>
          <w:sz w:val="28"/>
          <w:szCs w:val="28"/>
        </w:rPr>
        <w:t>и формирова</w:t>
      </w:r>
      <w:r>
        <w:rPr>
          <w:sz w:val="28"/>
          <w:szCs w:val="28"/>
        </w:rPr>
        <w:t>ния перечня налоговых расходов МО «Тимирязевское сельское поселение»</w:t>
      </w:r>
    </w:p>
    <w:p w:rsidR="00C66DB5" w:rsidRPr="00E12A8A" w:rsidRDefault="00C66DB5" w:rsidP="00C66DB5">
      <w:pPr>
        <w:autoSpaceDN w:val="0"/>
        <w:adjustRightInd w:val="0"/>
        <w:rPr>
          <w:sz w:val="28"/>
          <w:szCs w:val="28"/>
        </w:rPr>
      </w:pPr>
    </w:p>
    <w:p w:rsidR="00C66DB5" w:rsidRPr="00E12A8A" w:rsidRDefault="00C66DB5" w:rsidP="00C66DB5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E12A8A">
        <w:rPr>
          <w:sz w:val="28"/>
          <w:szCs w:val="28"/>
        </w:rPr>
        <w:t xml:space="preserve">В соответствии со статьёй 174.3 Бюджетного кодекса Российской Федерации, постановлением Правительства Российской Федерации от 22 июня 2019 г. № 796 «Об общих требованиях к оценке налоговых расходов субъектов Российской Федерации и муниципальных образований» </w:t>
      </w:r>
    </w:p>
    <w:p w:rsidR="00C66DB5" w:rsidRPr="00E12A8A" w:rsidRDefault="00C66DB5" w:rsidP="000A23F2">
      <w:pPr>
        <w:pStyle w:val="ConsPlusNormal"/>
        <w:spacing w:before="240"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E12A8A">
        <w:rPr>
          <w:rFonts w:ascii="Times New Roman" w:hAnsi="Times New Roman" w:cs="Times New Roman"/>
          <w:sz w:val="28"/>
          <w:szCs w:val="28"/>
        </w:rPr>
        <w:t>:</w:t>
      </w:r>
    </w:p>
    <w:p w:rsidR="00C66DB5" w:rsidRPr="00E12A8A" w:rsidRDefault="00C66DB5" w:rsidP="00197B31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"/>
      <w:bookmarkEnd w:id="0"/>
      <w:r w:rsidRPr="00E12A8A">
        <w:rPr>
          <w:rFonts w:ascii="Times New Roman" w:hAnsi="Times New Roman" w:cs="Times New Roman"/>
          <w:sz w:val="28"/>
          <w:szCs w:val="28"/>
        </w:rPr>
        <w:t>1. Утвердить прилагаемый Порядок оценки налого</w:t>
      </w:r>
      <w:r>
        <w:rPr>
          <w:rFonts w:ascii="Times New Roman" w:hAnsi="Times New Roman" w:cs="Times New Roman"/>
          <w:sz w:val="28"/>
          <w:szCs w:val="28"/>
        </w:rPr>
        <w:t>вых расходов МО «Тимирязевское сельское поселение»</w:t>
      </w:r>
      <w:r w:rsidR="000A23F2">
        <w:rPr>
          <w:rFonts w:ascii="Times New Roman" w:hAnsi="Times New Roman" w:cs="Times New Roman"/>
          <w:sz w:val="28"/>
          <w:szCs w:val="28"/>
        </w:rPr>
        <w:t xml:space="preserve"> </w:t>
      </w:r>
      <w:r w:rsidRPr="00E12A8A">
        <w:rPr>
          <w:rFonts w:ascii="Times New Roman" w:hAnsi="Times New Roman" w:cs="Times New Roman"/>
          <w:sz w:val="28"/>
          <w:szCs w:val="28"/>
        </w:rPr>
        <w:t>и формирования перечня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МО «Тимирязевское сельское поселение»</w:t>
      </w:r>
      <w:r w:rsidRPr="00E12A8A">
        <w:rPr>
          <w:rFonts w:ascii="Times New Roman" w:hAnsi="Times New Roman" w:cs="Times New Roman"/>
          <w:sz w:val="28"/>
          <w:szCs w:val="28"/>
        </w:rPr>
        <w:t>.</w:t>
      </w:r>
    </w:p>
    <w:p w:rsidR="000A23F2" w:rsidRPr="00F902DE" w:rsidRDefault="00C66DB5" w:rsidP="00197B31">
      <w:pPr>
        <w:pStyle w:val="a3"/>
        <w:spacing w:line="276" w:lineRule="auto"/>
        <w:ind w:left="0" w:firstLine="142"/>
        <w:jc w:val="both"/>
        <w:rPr>
          <w:rFonts w:cs="Times New Roman"/>
          <w:bCs/>
          <w:sz w:val="26"/>
          <w:szCs w:val="26"/>
          <w:lang w:eastAsia="ru-RU"/>
        </w:rPr>
      </w:pPr>
      <w:r w:rsidRPr="00E12A8A">
        <w:rPr>
          <w:rFonts w:cs="Times New Roman"/>
          <w:szCs w:val="28"/>
        </w:rPr>
        <w:t xml:space="preserve">2.  </w:t>
      </w:r>
      <w:r w:rsidR="000A23F2" w:rsidRPr="00F902DE">
        <w:rPr>
          <w:rFonts w:cs="Times New Roman"/>
          <w:bCs/>
          <w:sz w:val="26"/>
          <w:szCs w:val="26"/>
          <w:lang w:eastAsia="ru-RU"/>
        </w:rPr>
        <w:t xml:space="preserve">Контроль </w:t>
      </w:r>
      <w:r w:rsidR="00197B31">
        <w:rPr>
          <w:rFonts w:cs="Times New Roman"/>
          <w:bCs/>
          <w:sz w:val="26"/>
          <w:szCs w:val="26"/>
          <w:lang w:eastAsia="ru-RU"/>
        </w:rPr>
        <w:t xml:space="preserve">возложить на начальника финансового отдела </w:t>
      </w:r>
      <w:proofErr w:type="spellStart"/>
      <w:r w:rsidR="00197B31">
        <w:rPr>
          <w:rFonts w:cs="Times New Roman"/>
          <w:bCs/>
          <w:sz w:val="26"/>
          <w:szCs w:val="26"/>
          <w:lang w:eastAsia="ru-RU"/>
        </w:rPr>
        <w:t>Образцову</w:t>
      </w:r>
      <w:proofErr w:type="spellEnd"/>
      <w:r w:rsidR="00197B31">
        <w:rPr>
          <w:rFonts w:cs="Times New Roman"/>
          <w:bCs/>
          <w:sz w:val="26"/>
          <w:szCs w:val="26"/>
          <w:lang w:eastAsia="ru-RU"/>
        </w:rPr>
        <w:t xml:space="preserve"> Наталью Викторовну.</w:t>
      </w:r>
    </w:p>
    <w:p w:rsidR="00C66DB5" w:rsidRPr="00E12A8A" w:rsidRDefault="000A23F2" w:rsidP="00197B31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C66DB5" w:rsidRPr="00E12A8A">
        <w:rPr>
          <w:rFonts w:ascii="Times New Roman" w:hAnsi="Times New Roman" w:cs="Times New Roman"/>
          <w:spacing w:val="-4"/>
          <w:sz w:val="28"/>
          <w:szCs w:val="28"/>
        </w:rPr>
        <w:t>. Постановление вступает в силу с момента подписания.</w:t>
      </w:r>
    </w:p>
    <w:p w:rsidR="00C66DB5" w:rsidRPr="00E12A8A" w:rsidRDefault="00C66DB5" w:rsidP="00C66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DB5" w:rsidRPr="00340A45" w:rsidRDefault="00C66DB5" w:rsidP="00C66DB5">
      <w:pPr>
        <w:tabs>
          <w:tab w:val="left" w:pos="7938"/>
        </w:tabs>
        <w:ind w:left="-284" w:firstLine="284"/>
        <w:rPr>
          <w:rFonts w:eastAsia="Calibri"/>
          <w:b/>
          <w:color w:val="000000"/>
          <w:sz w:val="28"/>
          <w:szCs w:val="28"/>
        </w:rPr>
      </w:pPr>
      <w:proofErr w:type="gramStart"/>
      <w:r w:rsidRPr="00340A45">
        <w:rPr>
          <w:rFonts w:eastAsia="Calibri"/>
          <w:b/>
          <w:color w:val="000000"/>
          <w:sz w:val="28"/>
          <w:szCs w:val="28"/>
        </w:rPr>
        <w:t>Глава  муниципального</w:t>
      </w:r>
      <w:proofErr w:type="gramEnd"/>
      <w:r w:rsidRPr="00340A45">
        <w:rPr>
          <w:rFonts w:eastAsia="Calibri"/>
          <w:b/>
          <w:color w:val="000000"/>
          <w:sz w:val="28"/>
          <w:szCs w:val="28"/>
        </w:rPr>
        <w:t xml:space="preserve"> образования </w:t>
      </w:r>
    </w:p>
    <w:p w:rsidR="00C66DB5" w:rsidRPr="00340A45" w:rsidRDefault="00C66DB5" w:rsidP="00C66DB5">
      <w:pPr>
        <w:spacing w:after="200" w:line="276" w:lineRule="auto"/>
        <w:ind w:left="-142" w:firstLine="142"/>
        <w:rPr>
          <w:rFonts w:eastAsia="Calibri"/>
          <w:b/>
          <w:color w:val="000000"/>
          <w:sz w:val="28"/>
          <w:szCs w:val="28"/>
        </w:rPr>
      </w:pPr>
      <w:r w:rsidRPr="00340A45">
        <w:rPr>
          <w:rFonts w:eastAsia="Calibri"/>
          <w:b/>
          <w:color w:val="000000"/>
          <w:sz w:val="28"/>
          <w:szCs w:val="28"/>
        </w:rPr>
        <w:t xml:space="preserve">«Тимирязевское сельское </w:t>
      </w:r>
      <w:proofErr w:type="gramStart"/>
      <w:r w:rsidRPr="00340A45">
        <w:rPr>
          <w:rFonts w:eastAsia="Calibri"/>
          <w:b/>
          <w:color w:val="000000"/>
          <w:sz w:val="28"/>
          <w:szCs w:val="28"/>
        </w:rPr>
        <w:t>поселение»</w:t>
      </w:r>
      <w:r w:rsidRPr="00340A45">
        <w:rPr>
          <w:rFonts w:eastAsia="Calibri"/>
          <w:b/>
          <w:color w:val="000000"/>
          <w:sz w:val="28"/>
          <w:szCs w:val="28"/>
        </w:rPr>
        <w:tab/>
      </w:r>
      <w:proofErr w:type="gramEnd"/>
      <w:r w:rsidRPr="00340A45">
        <w:rPr>
          <w:rFonts w:eastAsia="Calibri"/>
          <w:b/>
          <w:color w:val="000000"/>
          <w:sz w:val="28"/>
          <w:szCs w:val="28"/>
        </w:rPr>
        <w:t xml:space="preserve">                                   </w:t>
      </w:r>
      <w:r>
        <w:rPr>
          <w:rFonts w:eastAsia="Calibri"/>
          <w:b/>
          <w:color w:val="000000"/>
          <w:sz w:val="28"/>
          <w:szCs w:val="28"/>
        </w:rPr>
        <w:t>Н</w:t>
      </w:r>
      <w:r w:rsidRPr="00340A45">
        <w:rPr>
          <w:rFonts w:eastAsia="Calibri"/>
          <w:b/>
          <w:color w:val="000000"/>
          <w:sz w:val="28"/>
          <w:szCs w:val="28"/>
        </w:rPr>
        <w:t>.А.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/>
          <w:sz w:val="28"/>
          <w:szCs w:val="28"/>
        </w:rPr>
        <w:t>Дельнов</w:t>
      </w:r>
      <w:proofErr w:type="spellEnd"/>
    </w:p>
    <w:p w:rsidR="00C66DB5" w:rsidRPr="0024304B" w:rsidRDefault="00C66DB5" w:rsidP="00C66DB5">
      <w:pPr>
        <w:rPr>
          <w:rFonts w:eastAsia="Calibri"/>
        </w:rPr>
      </w:pPr>
      <w:r>
        <w:rPr>
          <w:rFonts w:eastAsia="Calibri"/>
        </w:rPr>
        <w:t>П</w:t>
      </w:r>
      <w:r w:rsidRPr="0024304B">
        <w:rPr>
          <w:rFonts w:eastAsia="Calibri"/>
        </w:rPr>
        <w:t>одготов</w:t>
      </w:r>
      <w:r>
        <w:rPr>
          <w:rFonts w:eastAsia="Calibri"/>
        </w:rPr>
        <w:t>ил</w:t>
      </w:r>
      <w:r w:rsidRPr="0024304B">
        <w:rPr>
          <w:rFonts w:eastAsia="Calibri"/>
        </w:rPr>
        <w:t>:</w:t>
      </w:r>
    </w:p>
    <w:p w:rsidR="00C66DB5" w:rsidRPr="0024304B" w:rsidRDefault="00C66DB5" w:rsidP="00C66DB5">
      <w:pPr>
        <w:jc w:val="both"/>
        <w:rPr>
          <w:rFonts w:eastAsia="Calibri"/>
        </w:rPr>
      </w:pPr>
      <w:r>
        <w:rPr>
          <w:rFonts w:eastAsia="Calibri"/>
        </w:rPr>
        <w:t>Начальник</w:t>
      </w:r>
      <w:r w:rsidRPr="0024304B">
        <w:rPr>
          <w:rFonts w:eastAsia="Calibri"/>
        </w:rPr>
        <w:t xml:space="preserve"> финансового отдела                           </w:t>
      </w:r>
      <w:r>
        <w:rPr>
          <w:rFonts w:eastAsia="Calibri"/>
        </w:rPr>
        <w:t xml:space="preserve">    </w:t>
      </w:r>
      <w:r w:rsidR="00197B31">
        <w:rPr>
          <w:rFonts w:eastAsia="Calibri"/>
        </w:rPr>
        <w:t xml:space="preserve">    </w:t>
      </w:r>
      <w:r>
        <w:rPr>
          <w:rFonts w:eastAsia="Calibri"/>
        </w:rPr>
        <w:t xml:space="preserve"> </w:t>
      </w:r>
      <w:r w:rsidRPr="0024304B">
        <w:rPr>
          <w:rFonts w:eastAsia="Calibri"/>
        </w:rPr>
        <w:t xml:space="preserve">                </w:t>
      </w:r>
      <w:r>
        <w:rPr>
          <w:rFonts w:eastAsia="Calibri"/>
        </w:rPr>
        <w:t>Образцова Н.В.</w:t>
      </w:r>
    </w:p>
    <w:p w:rsidR="00C66DB5" w:rsidRPr="0024304B" w:rsidRDefault="00C66DB5" w:rsidP="00C66DB5">
      <w:pPr>
        <w:rPr>
          <w:rFonts w:eastAsia="Calibri"/>
        </w:rPr>
      </w:pPr>
    </w:p>
    <w:p w:rsidR="00C66DB5" w:rsidRDefault="00C66DB5" w:rsidP="00C66DB5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Согласовано.</w:t>
      </w:r>
    </w:p>
    <w:p w:rsidR="00C66DB5" w:rsidRDefault="00C66DB5" w:rsidP="00C66DB5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Правовая и антикоррупционная </w:t>
      </w:r>
    </w:p>
    <w:p w:rsidR="00C66DB5" w:rsidRDefault="00C66DB5" w:rsidP="00C66DB5">
      <w:pPr>
        <w:jc w:val="both"/>
        <w:rPr>
          <w:rFonts w:eastAsia="Calibri"/>
          <w:sz w:val="20"/>
          <w:szCs w:val="20"/>
          <w:lang w:eastAsia="en-US"/>
        </w:rPr>
      </w:pPr>
      <w:proofErr w:type="gramStart"/>
      <w:r>
        <w:rPr>
          <w:rFonts w:eastAsia="Calibri"/>
          <w:sz w:val="20"/>
          <w:szCs w:val="20"/>
          <w:lang w:eastAsia="en-US"/>
        </w:rPr>
        <w:t>экспертиза</w:t>
      </w:r>
      <w:proofErr w:type="gramEnd"/>
      <w:r w:rsidRPr="00BA64C2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проведена.</w:t>
      </w:r>
    </w:p>
    <w:p w:rsidR="00C66DB5" w:rsidRPr="00112285" w:rsidRDefault="00C66DB5" w:rsidP="00C66DB5">
      <w:pPr>
        <w:jc w:val="both"/>
        <w:rPr>
          <w:rFonts w:eastAsia="Calibri"/>
          <w:lang w:eastAsia="en-US"/>
        </w:rPr>
      </w:pPr>
      <w:r w:rsidRPr="00112285">
        <w:rPr>
          <w:rFonts w:eastAsia="Calibri"/>
          <w:lang w:eastAsia="en-US"/>
        </w:rPr>
        <w:t xml:space="preserve">Главный специалист по правовым вопросам                                                </w:t>
      </w:r>
      <w:r>
        <w:rPr>
          <w:rFonts w:eastAsia="Calibri"/>
          <w:lang w:eastAsia="en-US"/>
        </w:rPr>
        <w:t>С.Н. Ратуев</w:t>
      </w:r>
    </w:p>
    <w:p w:rsidR="00C66DB5" w:rsidRDefault="00C66DB5" w:rsidP="00C66DB5">
      <w:pPr>
        <w:jc w:val="right"/>
        <w:rPr>
          <w:rFonts w:eastAsia="Andale Sans UI" w:cs="Tahoma"/>
          <w:kern w:val="3"/>
          <w:sz w:val="20"/>
          <w:szCs w:val="20"/>
          <w:lang w:val="de-DE" w:eastAsia="ja-JP" w:bidi="fa-IR"/>
        </w:rPr>
      </w:pPr>
    </w:p>
    <w:p w:rsidR="000A23F2" w:rsidRDefault="000A23F2" w:rsidP="00C66DB5">
      <w:pPr>
        <w:jc w:val="right"/>
        <w:rPr>
          <w:rFonts w:eastAsia="Andale Sans UI" w:cs="Tahoma"/>
          <w:kern w:val="3"/>
          <w:sz w:val="20"/>
          <w:szCs w:val="20"/>
          <w:lang w:val="de-DE" w:eastAsia="ja-JP" w:bidi="fa-IR"/>
        </w:rPr>
      </w:pPr>
    </w:p>
    <w:p w:rsidR="000A23F2" w:rsidRDefault="000A23F2" w:rsidP="00C66DB5">
      <w:pPr>
        <w:jc w:val="right"/>
        <w:rPr>
          <w:rFonts w:eastAsia="Andale Sans UI" w:cs="Tahoma"/>
          <w:kern w:val="3"/>
          <w:sz w:val="20"/>
          <w:szCs w:val="20"/>
          <w:lang w:val="de-DE" w:eastAsia="ja-JP" w:bidi="fa-IR"/>
        </w:rPr>
      </w:pPr>
    </w:p>
    <w:p w:rsidR="000A23F2" w:rsidRDefault="000A23F2" w:rsidP="00C66DB5">
      <w:pPr>
        <w:jc w:val="right"/>
        <w:rPr>
          <w:rFonts w:eastAsia="Andale Sans UI" w:cs="Tahoma"/>
          <w:kern w:val="3"/>
          <w:sz w:val="20"/>
          <w:szCs w:val="20"/>
          <w:lang w:val="de-DE" w:eastAsia="ja-JP" w:bidi="fa-IR"/>
        </w:rPr>
      </w:pPr>
    </w:p>
    <w:p w:rsidR="000A23F2" w:rsidRDefault="000A23F2" w:rsidP="00C66DB5">
      <w:pPr>
        <w:jc w:val="right"/>
        <w:rPr>
          <w:rFonts w:eastAsia="Andale Sans UI" w:cs="Tahoma"/>
          <w:kern w:val="3"/>
          <w:sz w:val="20"/>
          <w:szCs w:val="20"/>
          <w:lang w:val="de-DE" w:eastAsia="ja-JP" w:bidi="fa-IR"/>
        </w:rPr>
      </w:pPr>
    </w:p>
    <w:p w:rsidR="000A23F2" w:rsidRDefault="000A23F2" w:rsidP="00C66DB5">
      <w:pPr>
        <w:jc w:val="right"/>
        <w:rPr>
          <w:rFonts w:eastAsia="Andale Sans UI" w:cs="Tahoma"/>
          <w:kern w:val="3"/>
          <w:sz w:val="20"/>
          <w:szCs w:val="20"/>
          <w:lang w:val="de-DE" w:eastAsia="ja-JP" w:bidi="fa-IR"/>
        </w:rPr>
      </w:pPr>
    </w:p>
    <w:p w:rsidR="000A23F2" w:rsidRDefault="000A23F2" w:rsidP="00C66DB5">
      <w:pPr>
        <w:jc w:val="right"/>
        <w:rPr>
          <w:rFonts w:eastAsia="Andale Sans UI" w:cs="Tahoma"/>
          <w:kern w:val="3"/>
          <w:sz w:val="20"/>
          <w:szCs w:val="20"/>
          <w:lang w:val="de-DE" w:eastAsia="ja-JP" w:bidi="fa-IR"/>
        </w:rPr>
      </w:pPr>
    </w:p>
    <w:p w:rsidR="000A23F2" w:rsidRDefault="000A23F2" w:rsidP="00C66DB5">
      <w:pPr>
        <w:jc w:val="right"/>
        <w:rPr>
          <w:rFonts w:eastAsia="Andale Sans UI" w:cs="Tahoma"/>
          <w:kern w:val="3"/>
          <w:sz w:val="20"/>
          <w:szCs w:val="20"/>
          <w:lang w:val="de-DE" w:eastAsia="ja-JP" w:bidi="fa-IR"/>
        </w:rPr>
      </w:pPr>
    </w:p>
    <w:p w:rsidR="000A23F2" w:rsidRDefault="000A23F2" w:rsidP="00C66DB5">
      <w:pPr>
        <w:jc w:val="right"/>
        <w:rPr>
          <w:rFonts w:eastAsia="Andale Sans UI" w:cs="Tahoma"/>
          <w:kern w:val="3"/>
          <w:sz w:val="20"/>
          <w:szCs w:val="20"/>
          <w:lang w:val="de-DE" w:eastAsia="ja-JP" w:bidi="fa-IR"/>
        </w:rPr>
      </w:pPr>
    </w:p>
    <w:p w:rsidR="000A23F2" w:rsidRDefault="000A23F2" w:rsidP="00C66DB5">
      <w:pPr>
        <w:jc w:val="right"/>
        <w:rPr>
          <w:rFonts w:eastAsia="Andale Sans UI" w:cs="Tahoma"/>
          <w:kern w:val="3"/>
          <w:sz w:val="20"/>
          <w:szCs w:val="20"/>
          <w:lang w:val="de-DE" w:eastAsia="ja-JP" w:bidi="fa-IR"/>
        </w:rPr>
      </w:pPr>
    </w:p>
    <w:p w:rsidR="000A23F2" w:rsidRDefault="000A23F2" w:rsidP="00C66DB5">
      <w:pPr>
        <w:jc w:val="right"/>
        <w:rPr>
          <w:rFonts w:eastAsia="Andale Sans UI" w:cs="Tahoma"/>
          <w:kern w:val="3"/>
          <w:sz w:val="20"/>
          <w:szCs w:val="20"/>
          <w:lang w:val="de-DE" w:eastAsia="ja-JP" w:bidi="fa-IR"/>
        </w:rPr>
      </w:pPr>
    </w:p>
    <w:p w:rsidR="00C66DB5" w:rsidRPr="00E12A8A" w:rsidRDefault="00C66DB5" w:rsidP="00C66DB5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  <w:r w:rsidRPr="00E12A8A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C66DB5" w:rsidRPr="00E12A8A" w:rsidRDefault="00C66DB5" w:rsidP="00197B31">
      <w:pPr>
        <w:ind w:firstLine="5103"/>
        <w:jc w:val="right"/>
        <w:rPr>
          <w:sz w:val="28"/>
          <w:szCs w:val="28"/>
        </w:rPr>
      </w:pPr>
      <w:r w:rsidRPr="00E12A8A">
        <w:rPr>
          <w:sz w:val="28"/>
          <w:szCs w:val="28"/>
        </w:rPr>
        <w:t xml:space="preserve">от </w:t>
      </w:r>
      <w:r w:rsidR="00001972">
        <w:rPr>
          <w:sz w:val="28"/>
          <w:szCs w:val="28"/>
        </w:rPr>
        <w:t>28.01.</w:t>
      </w:r>
      <w:r>
        <w:rPr>
          <w:sz w:val="28"/>
          <w:szCs w:val="28"/>
        </w:rPr>
        <w:t>20</w:t>
      </w:r>
      <w:r w:rsidR="00197B31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001972">
        <w:rPr>
          <w:sz w:val="28"/>
          <w:szCs w:val="28"/>
        </w:rPr>
        <w:t>10</w:t>
      </w:r>
    </w:p>
    <w:p w:rsidR="00C66DB5" w:rsidRPr="00E12A8A" w:rsidRDefault="00C66DB5" w:rsidP="00C66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B5" w:rsidRPr="00E12A8A" w:rsidRDefault="00C66DB5" w:rsidP="00C66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DB5" w:rsidRPr="00E12A8A" w:rsidRDefault="00C66DB5" w:rsidP="00C66DB5">
      <w:pPr>
        <w:pStyle w:val="ConsPlusTitle"/>
        <w:jc w:val="center"/>
        <w:rPr>
          <w:sz w:val="28"/>
          <w:szCs w:val="28"/>
        </w:rPr>
      </w:pPr>
      <w:bookmarkStart w:id="1" w:name="P46"/>
      <w:bookmarkEnd w:id="1"/>
      <w:r w:rsidRPr="00E12A8A">
        <w:rPr>
          <w:sz w:val="28"/>
          <w:szCs w:val="28"/>
        </w:rPr>
        <w:t>ПОРЯДОК</w:t>
      </w:r>
    </w:p>
    <w:p w:rsidR="00C66DB5" w:rsidRPr="00E12A8A" w:rsidRDefault="00C66DB5" w:rsidP="00C66DB5">
      <w:pPr>
        <w:jc w:val="center"/>
        <w:rPr>
          <w:b/>
          <w:sz w:val="28"/>
          <w:szCs w:val="28"/>
        </w:rPr>
      </w:pPr>
      <w:proofErr w:type="gramStart"/>
      <w:r w:rsidRPr="00E12A8A">
        <w:rPr>
          <w:b/>
          <w:sz w:val="28"/>
          <w:szCs w:val="28"/>
        </w:rPr>
        <w:t>оценки</w:t>
      </w:r>
      <w:proofErr w:type="gramEnd"/>
      <w:r w:rsidRPr="00E12A8A">
        <w:rPr>
          <w:b/>
          <w:sz w:val="28"/>
          <w:szCs w:val="28"/>
        </w:rPr>
        <w:t xml:space="preserve"> налоговых расходов </w:t>
      </w:r>
      <w:r>
        <w:rPr>
          <w:b/>
          <w:sz w:val="28"/>
          <w:szCs w:val="28"/>
        </w:rPr>
        <w:t>МО «Тимирязевское сельское поселение»</w:t>
      </w:r>
      <w:r w:rsidR="00197B31">
        <w:rPr>
          <w:b/>
          <w:sz w:val="28"/>
          <w:szCs w:val="28"/>
        </w:rPr>
        <w:t xml:space="preserve"> </w:t>
      </w:r>
      <w:r w:rsidRPr="00E12A8A">
        <w:rPr>
          <w:b/>
          <w:sz w:val="28"/>
          <w:szCs w:val="28"/>
        </w:rPr>
        <w:t xml:space="preserve">и формирования перечня налоговых </w:t>
      </w:r>
      <w:r>
        <w:rPr>
          <w:b/>
          <w:sz w:val="28"/>
          <w:szCs w:val="28"/>
        </w:rPr>
        <w:t>расходов МО «Тимирязевское сельское поселение»</w:t>
      </w:r>
    </w:p>
    <w:p w:rsidR="00C66DB5" w:rsidRPr="00E12A8A" w:rsidRDefault="00C66DB5" w:rsidP="00C66DB5">
      <w:pPr>
        <w:jc w:val="center"/>
        <w:rPr>
          <w:sz w:val="28"/>
          <w:szCs w:val="28"/>
        </w:rPr>
      </w:pPr>
    </w:p>
    <w:p w:rsidR="00C66DB5" w:rsidRPr="00E12A8A" w:rsidRDefault="00C66DB5" w:rsidP="00C66D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2A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2A8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66DB5" w:rsidRPr="00197B31" w:rsidRDefault="00C66DB5" w:rsidP="0019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A8A">
        <w:rPr>
          <w:rFonts w:ascii="Times New Roman" w:hAnsi="Times New Roman" w:cs="Times New Roman"/>
          <w:sz w:val="28"/>
          <w:szCs w:val="28"/>
        </w:rPr>
        <w:t>1. Пор</w:t>
      </w:r>
      <w:r>
        <w:rPr>
          <w:rFonts w:ascii="Times New Roman" w:hAnsi="Times New Roman" w:cs="Times New Roman"/>
          <w:sz w:val="28"/>
          <w:szCs w:val="28"/>
        </w:rPr>
        <w:t xml:space="preserve">ядок оценки налоговых расходов МО «Тимирязевское сельское </w:t>
      </w:r>
      <w:r w:rsidRPr="00197B31">
        <w:rPr>
          <w:rFonts w:ascii="Times New Roman" w:hAnsi="Times New Roman" w:cs="Times New Roman"/>
          <w:sz w:val="24"/>
          <w:szCs w:val="24"/>
        </w:rPr>
        <w:t>поселение»</w:t>
      </w:r>
      <w:r w:rsidR="00197B31" w:rsidRPr="00197B31">
        <w:rPr>
          <w:rFonts w:ascii="Times New Roman" w:hAnsi="Times New Roman" w:cs="Times New Roman"/>
          <w:sz w:val="24"/>
          <w:szCs w:val="24"/>
        </w:rPr>
        <w:t xml:space="preserve"> </w:t>
      </w:r>
      <w:r w:rsidRPr="00197B31">
        <w:rPr>
          <w:rFonts w:ascii="Times New Roman" w:hAnsi="Times New Roman" w:cs="Times New Roman"/>
          <w:sz w:val="24"/>
          <w:szCs w:val="24"/>
        </w:rPr>
        <w:t>(далее - Порядок) определяет последовательность действий органов местного самоуправления МО «Тимирязевское сельское поселение»:</w:t>
      </w:r>
    </w:p>
    <w:p w:rsidR="00C66DB5" w:rsidRPr="00197B31" w:rsidRDefault="00C66DB5" w:rsidP="0019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B31">
        <w:rPr>
          <w:rFonts w:ascii="Times New Roman" w:hAnsi="Times New Roman" w:cs="Times New Roman"/>
          <w:sz w:val="24"/>
          <w:szCs w:val="24"/>
        </w:rPr>
        <w:t xml:space="preserve">- при проведении ежегодной оценки налоговых расходов МО «Тимирязевское сельское поселение», </w:t>
      </w:r>
    </w:p>
    <w:p w:rsidR="00C66DB5" w:rsidRPr="00197B31" w:rsidRDefault="00C66DB5" w:rsidP="0019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B31">
        <w:rPr>
          <w:rFonts w:ascii="Times New Roman" w:hAnsi="Times New Roman" w:cs="Times New Roman"/>
          <w:sz w:val="24"/>
          <w:szCs w:val="24"/>
        </w:rPr>
        <w:t xml:space="preserve">- при подготовке заключений (рекомендаций) по вопросам установления, продления и отмены налоговых расходов. </w:t>
      </w:r>
    </w:p>
    <w:p w:rsidR="00C66DB5" w:rsidRPr="00197B31" w:rsidRDefault="00C66DB5" w:rsidP="00197B3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B31">
        <w:rPr>
          <w:rFonts w:ascii="Times New Roman" w:hAnsi="Times New Roman" w:cs="Times New Roman"/>
          <w:sz w:val="24"/>
          <w:szCs w:val="24"/>
        </w:rPr>
        <w:t>2. Оценка налоговых расходов МО «Тимирязевское сельское поселение»</w:t>
      </w:r>
      <w:r w:rsidR="00197B31" w:rsidRPr="00197B31">
        <w:rPr>
          <w:rFonts w:ascii="Times New Roman" w:hAnsi="Times New Roman" w:cs="Times New Roman"/>
          <w:sz w:val="24"/>
          <w:szCs w:val="24"/>
        </w:rPr>
        <w:t xml:space="preserve"> </w:t>
      </w:r>
      <w:r w:rsidRPr="00197B31">
        <w:rPr>
          <w:rFonts w:ascii="Times New Roman" w:hAnsi="Times New Roman" w:cs="Times New Roman"/>
          <w:sz w:val="24"/>
          <w:szCs w:val="24"/>
        </w:rPr>
        <w:t>производится в целях обеспечения контроля результативности налоговых расходов и их соответствия общественным интересам. Оценка налоговых расходов направлена на оптимизацию перечня действующих налоговых расходов, а также обеспечение оптимального выбора объектов для предоставления</w:t>
      </w:r>
      <w:r w:rsidRPr="00197B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7B31">
        <w:rPr>
          <w:rFonts w:ascii="Times New Roman" w:hAnsi="Times New Roman" w:cs="Times New Roman"/>
          <w:color w:val="000000"/>
          <w:sz w:val="24"/>
          <w:szCs w:val="24"/>
        </w:rPr>
        <w:t>муниципальной поддержки в форме установления налоговых льгот.</w:t>
      </w:r>
    </w:p>
    <w:p w:rsidR="00C66DB5" w:rsidRPr="00197B31" w:rsidRDefault="00C66DB5" w:rsidP="00197B31">
      <w:pPr>
        <w:autoSpaceDN w:val="0"/>
        <w:spacing w:line="233" w:lineRule="auto"/>
        <w:contextualSpacing/>
        <w:jc w:val="both"/>
      </w:pPr>
      <w:r w:rsidRPr="00197B31">
        <w:t xml:space="preserve">3. Используемые в Порядке понятия и термины употребляются в значениях, определяемых Налоговым </w:t>
      </w:r>
      <w:hyperlink r:id="rId6" w:history="1">
        <w:r w:rsidRPr="00197B31">
          <w:t>кодексом</w:t>
        </w:r>
      </w:hyperlink>
      <w:r w:rsidRPr="00197B31">
        <w:t xml:space="preserve"> Российской Федерации и 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г. № 796 «Об общих требованиях к оценке налоговых расходов субъектов Российской Федерации и муниципальных образований» (далее – общие требования к оценке налоговых расходов).</w:t>
      </w:r>
    </w:p>
    <w:p w:rsidR="00C66DB5" w:rsidRPr="00197B31" w:rsidRDefault="00C66DB5" w:rsidP="00197B31">
      <w:pPr>
        <w:autoSpaceDN w:val="0"/>
        <w:spacing w:line="233" w:lineRule="auto"/>
        <w:contextualSpacing/>
        <w:jc w:val="both"/>
      </w:pPr>
      <w:r w:rsidRPr="00197B31">
        <w:t>4. Результаты оценки налоговых расходов используются для:</w:t>
      </w:r>
    </w:p>
    <w:p w:rsidR="00C66DB5" w:rsidRPr="00197B31" w:rsidRDefault="00C66DB5" w:rsidP="00197B31">
      <w:pPr>
        <w:autoSpaceDN w:val="0"/>
        <w:spacing w:line="233" w:lineRule="auto"/>
        <w:contextualSpacing/>
        <w:jc w:val="both"/>
      </w:pPr>
      <w:r w:rsidRPr="00197B31">
        <w:t>- разработки основных направлений бюджетной и налоговой политики МО «Тимирязевское сельское поселение»;</w:t>
      </w:r>
    </w:p>
    <w:p w:rsidR="00C66DB5" w:rsidRPr="00197B31" w:rsidRDefault="00C66DB5" w:rsidP="00197B31">
      <w:pPr>
        <w:autoSpaceDN w:val="0"/>
        <w:spacing w:line="233" w:lineRule="auto"/>
        <w:contextualSpacing/>
        <w:jc w:val="both"/>
      </w:pPr>
      <w:r w:rsidRPr="00197B31">
        <w:t>- оценки эффективности реализации муниципальных программ МО «Тимирязевское сельское поселение»;</w:t>
      </w:r>
    </w:p>
    <w:p w:rsidR="00C66DB5" w:rsidRPr="00197B31" w:rsidRDefault="00C66DB5" w:rsidP="00197B31">
      <w:pPr>
        <w:autoSpaceDN w:val="0"/>
        <w:spacing w:line="233" w:lineRule="auto"/>
        <w:contextualSpacing/>
        <w:jc w:val="both"/>
      </w:pPr>
      <w:r w:rsidRPr="00197B31">
        <w:t>- разработки проекта местного бюджета на очередной финансовый год и на плановый период;</w:t>
      </w:r>
    </w:p>
    <w:p w:rsidR="00C66DB5" w:rsidRPr="00197B31" w:rsidRDefault="00C66DB5" w:rsidP="00197B31">
      <w:pPr>
        <w:autoSpaceDN w:val="0"/>
        <w:spacing w:line="233" w:lineRule="auto"/>
        <w:contextualSpacing/>
        <w:jc w:val="both"/>
      </w:pPr>
      <w:r w:rsidRPr="00197B31">
        <w:t>- своевременного принятия мер по отмене неэффективных налоговых расходов;</w:t>
      </w:r>
    </w:p>
    <w:p w:rsidR="00C66DB5" w:rsidRPr="00197B31" w:rsidRDefault="00C66DB5" w:rsidP="00197B31">
      <w:pPr>
        <w:autoSpaceDN w:val="0"/>
        <w:spacing w:line="233" w:lineRule="auto"/>
        <w:contextualSpacing/>
        <w:jc w:val="both"/>
      </w:pPr>
      <w:r w:rsidRPr="00197B31">
        <w:t>- разработки предложений по совершенствованию мер муниципальной поддержки отдельных категорий налогоплательщиков;</w:t>
      </w:r>
    </w:p>
    <w:p w:rsidR="00C66DB5" w:rsidRPr="00197B31" w:rsidRDefault="00C66DB5" w:rsidP="00197B31">
      <w:pPr>
        <w:autoSpaceDN w:val="0"/>
        <w:spacing w:line="233" w:lineRule="auto"/>
        <w:contextualSpacing/>
        <w:jc w:val="both"/>
      </w:pPr>
      <w:r w:rsidRPr="00197B31">
        <w:t xml:space="preserve"> - представления ежегодной информации об оценке налоговых расходов МО «Тимирязевское сельское </w:t>
      </w:r>
      <w:proofErr w:type="spellStart"/>
      <w:proofErr w:type="gramStart"/>
      <w:r w:rsidRPr="00197B31">
        <w:t>поселение»в</w:t>
      </w:r>
      <w:proofErr w:type="spellEnd"/>
      <w:proofErr w:type="gramEnd"/>
      <w:r w:rsidRPr="00197B31">
        <w:t xml:space="preserve"> Управление финансов Администрации </w:t>
      </w:r>
      <w:proofErr w:type="spellStart"/>
      <w:r w:rsidRPr="00197B31">
        <w:t>Некоузского</w:t>
      </w:r>
      <w:proofErr w:type="spellEnd"/>
      <w:r w:rsidRPr="00197B31">
        <w:t xml:space="preserve"> муниципального района</w:t>
      </w:r>
    </w:p>
    <w:p w:rsidR="00C66DB5" w:rsidRPr="00197B31" w:rsidRDefault="00C66DB5" w:rsidP="00197B31">
      <w:pPr>
        <w:autoSpaceDN w:val="0"/>
        <w:contextualSpacing/>
        <w:jc w:val="both"/>
      </w:pPr>
    </w:p>
    <w:p w:rsidR="00C66DB5" w:rsidRPr="00197B31" w:rsidRDefault="00C66DB5" w:rsidP="00197B31">
      <w:pPr>
        <w:autoSpaceDN w:val="0"/>
        <w:contextualSpacing/>
        <w:jc w:val="both"/>
      </w:pPr>
      <w:r w:rsidRPr="00197B31">
        <w:rPr>
          <w:lang w:val="en-US"/>
        </w:rPr>
        <w:t>II</w:t>
      </w:r>
      <w:r w:rsidRPr="00197B31">
        <w:t>. Формирование информации о нормативных, целевых и фискальных характеристиках налоговых расходов МО «Тимирязевское сельское поселение»</w:t>
      </w:r>
    </w:p>
    <w:p w:rsidR="00C66DB5" w:rsidRPr="00197B31" w:rsidRDefault="00C66DB5" w:rsidP="00197B31">
      <w:pPr>
        <w:contextualSpacing/>
        <w:jc w:val="both"/>
      </w:pPr>
      <w:r w:rsidRPr="00197B31">
        <w:t>5. Формирование информации для ежегодной оценки налоговых расходов МО «Тимирязевское сельское поселение».</w:t>
      </w:r>
    </w:p>
    <w:p w:rsidR="00C66DB5" w:rsidRPr="00197B31" w:rsidRDefault="00C66DB5" w:rsidP="00197B31">
      <w:pPr>
        <w:contextualSpacing/>
        <w:jc w:val="both"/>
      </w:pPr>
      <w:r w:rsidRPr="00197B31">
        <w:t>5.1. Нормативные характеристики налоговых расходов МО «Тимирязевское сельское поселение»</w:t>
      </w:r>
      <w:r w:rsidR="00A65409">
        <w:t xml:space="preserve"> </w:t>
      </w:r>
      <w:r w:rsidRPr="00197B31">
        <w:t>для оценки налоговых расходов формирует Администрация МО «Тимирязевское сельское поселение» (далее – Администрация).</w:t>
      </w:r>
    </w:p>
    <w:p w:rsidR="00C66DB5" w:rsidRPr="00197B31" w:rsidRDefault="00C66DB5" w:rsidP="00197B31">
      <w:pPr>
        <w:contextualSpacing/>
        <w:jc w:val="both"/>
      </w:pPr>
      <w:r w:rsidRPr="00197B31">
        <w:t>5.2. Администрация до 01 февраля направляет в ФНС №</w:t>
      </w:r>
      <w:r w:rsidR="00197B31">
        <w:t>1</w:t>
      </w:r>
      <w:r w:rsidRPr="00197B31">
        <w:t xml:space="preserve"> по </w:t>
      </w:r>
      <w:r w:rsidR="00197B31">
        <w:t>Республике Адыгея</w:t>
      </w:r>
      <w:r w:rsidRPr="00197B31">
        <w:t xml:space="preserve"> сведения о категориях плательщиков с указанием обусловливающих соответствующие налоговые </w:t>
      </w:r>
      <w:r w:rsidRPr="00197B31">
        <w:lastRenderedPageBreak/>
        <w:t>расходы нормативных правовых актов МО «Тимирязевское сельское поселение», в том числе действовавших в отчетном году и в году, предшествующем отчетному, и иной информации, предусмотренной приложением к общим требованиям к оценке налоговых расходов.</w:t>
      </w:r>
    </w:p>
    <w:p w:rsidR="00C66DB5" w:rsidRPr="00197B31" w:rsidRDefault="00C66DB5" w:rsidP="00197B31">
      <w:pPr>
        <w:contextualSpacing/>
        <w:jc w:val="both"/>
      </w:pPr>
      <w:r w:rsidRPr="00197B31">
        <w:t>5.3. Администрация до 15 апреля</w:t>
      </w:r>
      <w:r w:rsidRPr="00197B31" w:rsidDel="003940D2">
        <w:t xml:space="preserve"> </w:t>
      </w:r>
      <w:r w:rsidRPr="00197B31">
        <w:t xml:space="preserve">обобщает полученные из </w:t>
      </w:r>
      <w:r w:rsidR="00197B31">
        <w:t xml:space="preserve">ФНС №1 по Республике Адыгея </w:t>
      </w:r>
      <w:r w:rsidR="00197B31" w:rsidRPr="00197B31">
        <w:t>сведения</w:t>
      </w:r>
      <w:r w:rsidRPr="00197B31">
        <w:t>, предусмотренные общими требованиями к оценке налоговых расходов, формирует их в разрезе кураторов налоговых расходов в соответствии с перечнем налоговых расходов МО «Тимирязевское сельское поселение»</w:t>
      </w:r>
      <w:r w:rsidR="00197B31">
        <w:t xml:space="preserve"> </w:t>
      </w:r>
      <w:r w:rsidRPr="00197B31">
        <w:t>и направляет кураторам налоговых расходов для оценки эффективности налоговых расходов.</w:t>
      </w:r>
    </w:p>
    <w:p w:rsidR="00C66DB5" w:rsidRPr="00197B31" w:rsidRDefault="00C66DB5" w:rsidP="00197B31">
      <w:pPr>
        <w:contextualSpacing/>
        <w:jc w:val="both"/>
      </w:pPr>
      <w:r w:rsidRPr="00197B31">
        <w:t>5.4. Кураторы налоговых расходов осуществляют оценку эффективности</w:t>
      </w:r>
      <w:r w:rsidRPr="00197B31">
        <w:rPr>
          <w:b/>
        </w:rPr>
        <w:t xml:space="preserve"> </w:t>
      </w:r>
      <w:r w:rsidRPr="00197B31">
        <w:t>налоговых расходов и до 30 апреля представляют в Администрацию следующую информацию:</w:t>
      </w:r>
    </w:p>
    <w:p w:rsidR="00C66DB5" w:rsidRPr="00197B31" w:rsidRDefault="00C66DB5" w:rsidP="00197B31">
      <w:pPr>
        <w:contextualSpacing/>
        <w:jc w:val="both"/>
      </w:pPr>
      <w:r w:rsidRPr="00197B31">
        <w:t>- цель предоставления налоговых льгот;</w:t>
      </w:r>
    </w:p>
    <w:p w:rsidR="00C66DB5" w:rsidRPr="00197B31" w:rsidRDefault="00C66DB5" w:rsidP="00197B31">
      <w:pPr>
        <w:contextualSpacing/>
        <w:jc w:val="both"/>
      </w:pPr>
      <w:r w:rsidRPr="00197B31">
        <w:t xml:space="preserve"> -показатель достижения целей муниципальной программы МО «Тимирязевское сельское </w:t>
      </w:r>
      <w:proofErr w:type="spellStart"/>
      <w:proofErr w:type="gramStart"/>
      <w:r w:rsidRPr="00197B31">
        <w:t>поселение»и</w:t>
      </w:r>
      <w:proofErr w:type="spellEnd"/>
      <w:proofErr w:type="gramEnd"/>
      <w:r w:rsidRPr="00197B31">
        <w:t xml:space="preserve"> (или) социально-экономической политики МО «Тимирязевское сельское </w:t>
      </w:r>
      <w:proofErr w:type="spellStart"/>
      <w:r w:rsidRPr="00197B31">
        <w:t>поселение»в</w:t>
      </w:r>
      <w:proofErr w:type="spellEnd"/>
      <w:r w:rsidRPr="00197B31">
        <w:t xml:space="preserve"> связи с предоставлением налоговых льгот;</w:t>
      </w:r>
    </w:p>
    <w:p w:rsidR="00C66DB5" w:rsidRPr="00197B31" w:rsidRDefault="00C66DB5" w:rsidP="00197B31">
      <w:pPr>
        <w:autoSpaceDN w:val="0"/>
        <w:adjustRightInd w:val="0"/>
        <w:jc w:val="both"/>
      </w:pPr>
      <w:r w:rsidRPr="00197B31">
        <w:t xml:space="preserve">-принадлежность налогового расхода к группе полномочий в соответствии с порядком и методикой определения объема и </w:t>
      </w:r>
      <w:r w:rsidRPr="00197B31">
        <w:rPr>
          <w:rStyle w:val="a4"/>
          <w:i w:val="0"/>
        </w:rPr>
        <w:t>распределения</w:t>
      </w:r>
      <w:r w:rsidRPr="00197B31">
        <w:rPr>
          <w:i/>
        </w:rPr>
        <w:t xml:space="preserve"> </w:t>
      </w:r>
      <w:r w:rsidRPr="00197B31">
        <w:rPr>
          <w:rStyle w:val="a4"/>
          <w:i w:val="0"/>
        </w:rPr>
        <w:t>дотаций</w:t>
      </w:r>
      <w:r w:rsidRPr="00197B31">
        <w:rPr>
          <w:i/>
        </w:rPr>
        <w:t xml:space="preserve"> </w:t>
      </w:r>
      <w:r w:rsidRPr="00197B31">
        <w:t>на выравнивание бюджетной обеспеченности сельских поселений</w:t>
      </w:r>
      <w:r w:rsidR="00197B31">
        <w:t>;</w:t>
      </w:r>
    </w:p>
    <w:p w:rsidR="00C66DB5" w:rsidRPr="00197B31" w:rsidRDefault="00C66DB5" w:rsidP="00197B31">
      <w:pPr>
        <w:contextualSpacing/>
        <w:jc w:val="both"/>
      </w:pPr>
      <w:r w:rsidRPr="00197B31">
        <w:t>- код вида экономической деятельности (по общероссийскому классификатору видов экономической деятельности), к которому относится налоговый расход (если налоговый расход обусловлен налоговыми льготами для отдельных видов экономической деятельности);</w:t>
      </w:r>
    </w:p>
    <w:p w:rsidR="00C66DB5" w:rsidRPr="00197B31" w:rsidRDefault="00C66DB5" w:rsidP="00197B31">
      <w:pPr>
        <w:contextualSpacing/>
        <w:jc w:val="both"/>
      </w:pPr>
      <w:r w:rsidRPr="00197B31">
        <w:t>- результат оценки эффективности налогового расхода;</w:t>
      </w:r>
    </w:p>
    <w:p w:rsidR="00C66DB5" w:rsidRPr="00197B31" w:rsidRDefault="00C66DB5" w:rsidP="00197B31">
      <w:pPr>
        <w:contextualSpacing/>
        <w:jc w:val="both"/>
      </w:pPr>
      <w:r w:rsidRPr="00197B31">
        <w:t>- оценка совокупного бюджетного эффекта для стимулирующих налоговых расходов;</w:t>
      </w:r>
    </w:p>
    <w:p w:rsidR="00C66DB5" w:rsidRPr="00197B31" w:rsidRDefault="00C66DB5" w:rsidP="00197B31">
      <w:pPr>
        <w:contextualSpacing/>
        <w:jc w:val="both"/>
      </w:pPr>
      <w:r w:rsidRPr="00197B31">
        <w:t>- выводы о целесообразности установления, продления или отмены налоговых льгот;</w:t>
      </w:r>
    </w:p>
    <w:p w:rsidR="00C66DB5" w:rsidRPr="00197B31" w:rsidRDefault="00C66DB5" w:rsidP="00197B31">
      <w:pPr>
        <w:autoSpaceDN w:val="0"/>
        <w:contextualSpacing/>
        <w:jc w:val="both"/>
      </w:pPr>
      <w:r w:rsidRPr="00197B31">
        <w:t xml:space="preserve">- выводы о достижении целевых характеристик налогового расхода, о вкладе налогового расхода в достижение цели  муниципальной программы МО «Тимирязевское сельское </w:t>
      </w:r>
      <w:proofErr w:type="spellStart"/>
      <w:r w:rsidRPr="00197B31">
        <w:t>поселение»и</w:t>
      </w:r>
      <w:proofErr w:type="spellEnd"/>
      <w:r w:rsidRPr="00197B31">
        <w:t xml:space="preserve"> (или) целей социально-экономической политики МО «Тимирязевское сельское поселение» не относящихся к  муниципальным программам МО «Тимирязевское сельское поселение», а также о наличии или об отсутствии более результативных (менее затратных для бюджета МО «Тимирязевское сельское поселение») альтернативных механизмов достижения целей  муниципальных программ МО «Тимирязевское сельское </w:t>
      </w:r>
      <w:proofErr w:type="spellStart"/>
      <w:r w:rsidRPr="00197B31">
        <w:t>поселение»и</w:t>
      </w:r>
      <w:proofErr w:type="spellEnd"/>
      <w:r w:rsidRPr="00197B31">
        <w:t xml:space="preserve"> (или) целей социально-экономической политики МО «Тимирязевское сельское </w:t>
      </w:r>
      <w:proofErr w:type="spellStart"/>
      <w:r w:rsidRPr="00197B31">
        <w:t>поселение»не</w:t>
      </w:r>
      <w:proofErr w:type="spellEnd"/>
      <w:r w:rsidRPr="00197B31">
        <w:t xml:space="preserve"> относящихся к  муниципальным программам МО «Тимирязевское сельское поселение». </w:t>
      </w:r>
    </w:p>
    <w:p w:rsidR="00C66DB5" w:rsidRPr="00197B31" w:rsidRDefault="00C66DB5" w:rsidP="00197B31">
      <w:pPr>
        <w:contextualSpacing/>
        <w:jc w:val="both"/>
      </w:pPr>
      <w:r w:rsidRPr="00197B31">
        <w:t xml:space="preserve">5.5. Администрация обобщает сведения, указанные в подпунктах 5.1, 5.2, 5.4 данного пункта, и до </w:t>
      </w:r>
      <w:r w:rsidR="00171EA0">
        <w:t>1 августа</w:t>
      </w:r>
      <w:r w:rsidRPr="00197B31">
        <w:t xml:space="preserve"> представляет их в Управление финансов. </w:t>
      </w:r>
    </w:p>
    <w:p w:rsidR="00C66DB5" w:rsidRPr="00197B31" w:rsidRDefault="00C66DB5" w:rsidP="00197B31">
      <w:pPr>
        <w:contextualSpacing/>
        <w:jc w:val="both"/>
      </w:pPr>
      <w:r w:rsidRPr="00197B31">
        <w:t>5.6. Администрация в течение 3 рабочих дней после получения из </w:t>
      </w:r>
      <w:r w:rsidR="00197B31">
        <w:t>ФНС №1 по Республике Адыгея</w:t>
      </w:r>
      <w:r w:rsidRPr="00197B31">
        <w:t xml:space="preserve"> сведений, установленных общими требованиями к оценке налоговых расходов, направляет их кураторам налоговых расходов для сверки ранее представленной информации. </w:t>
      </w:r>
    </w:p>
    <w:p w:rsidR="00C66DB5" w:rsidRPr="00197B31" w:rsidRDefault="00C66DB5" w:rsidP="00197B31">
      <w:pPr>
        <w:contextualSpacing/>
        <w:jc w:val="both"/>
        <w:rPr>
          <w:strike/>
        </w:rPr>
      </w:pPr>
      <w:r w:rsidRPr="00197B31">
        <w:t>5.7. Кураторы налоговых расходов до 01 августа при необходимости представляют в Администрацию уточненные сведения, указанные в подпункте 5.6 данного пункта.</w:t>
      </w:r>
    </w:p>
    <w:p w:rsidR="00C66DB5" w:rsidRPr="00197B31" w:rsidRDefault="00C66DB5" w:rsidP="00197B31">
      <w:pPr>
        <w:contextualSpacing/>
        <w:jc w:val="both"/>
      </w:pPr>
      <w:r w:rsidRPr="00197B31">
        <w:t xml:space="preserve">5.8.Администрация до 20 августа при необходимости представляет в Управление финансов уточненную информацию согласно приложению к общим требованиям к оценке налоговых расходов. </w:t>
      </w:r>
    </w:p>
    <w:p w:rsidR="00C66DB5" w:rsidRPr="00197B31" w:rsidRDefault="00C66DB5" w:rsidP="00197B31">
      <w:pPr>
        <w:contextualSpacing/>
        <w:jc w:val="both"/>
      </w:pPr>
      <w:r w:rsidRPr="00197B31">
        <w:t xml:space="preserve">6. Формирование информации для оценки налоговых расходов при рассмотрении предложений об установлении новых видов налоговых расходов.  </w:t>
      </w:r>
    </w:p>
    <w:p w:rsidR="00C66DB5" w:rsidRPr="00197B31" w:rsidRDefault="00C66DB5" w:rsidP="00197B31">
      <w:pPr>
        <w:autoSpaceDN w:val="0"/>
        <w:contextualSpacing/>
        <w:jc w:val="both"/>
      </w:pPr>
      <w:r w:rsidRPr="00197B31">
        <w:t>6.1. Для рассмотрения вопроса об установлении с очередного финансового года новых видов налоговых расходов структурные подразделения администрации, курирующие соответствующую сферу деятельности, осуществляют мониторинг финансовых и количественных показателей деятельности потенциальных получателей налоговых льгот и до 10 апреля представляют в Администрацию следующие сведения:</w:t>
      </w:r>
    </w:p>
    <w:p w:rsidR="00C66DB5" w:rsidRPr="00197B31" w:rsidRDefault="00C66DB5" w:rsidP="00197B31">
      <w:pPr>
        <w:autoSpaceDN w:val="0"/>
        <w:contextualSpacing/>
        <w:jc w:val="both"/>
      </w:pPr>
      <w:r w:rsidRPr="00197B31">
        <w:t xml:space="preserve">- о количестве налогоплательщиков – потенциальных получателей налоговых льгот;  </w:t>
      </w:r>
    </w:p>
    <w:p w:rsidR="00C66DB5" w:rsidRPr="00197B31" w:rsidRDefault="00C66DB5" w:rsidP="00197B31">
      <w:pPr>
        <w:autoSpaceDN w:val="0"/>
        <w:contextualSpacing/>
        <w:jc w:val="both"/>
      </w:pPr>
      <w:r w:rsidRPr="00197B31">
        <w:lastRenderedPageBreak/>
        <w:t>- о суммах выпадающих доходов районного бюджета в результате установления налоговых льгот по видам налогов за отчетный, предшествующий отчетному, текущий и очередной годы;</w:t>
      </w:r>
    </w:p>
    <w:p w:rsidR="00C66DB5" w:rsidRPr="00197B31" w:rsidRDefault="00C66DB5" w:rsidP="00197B31">
      <w:pPr>
        <w:autoSpaceDN w:val="0"/>
        <w:contextualSpacing/>
        <w:jc w:val="both"/>
      </w:pPr>
      <w:r w:rsidRPr="00197B31">
        <w:t>- об объеме поступлений налогов в районный бюджет (с разбивкой по видам налогов) за отчетный, предшествующий отчетному, текущий и очередной годы;</w:t>
      </w:r>
    </w:p>
    <w:p w:rsidR="00C66DB5" w:rsidRPr="00197B31" w:rsidRDefault="00C66DB5" w:rsidP="00197B31">
      <w:pPr>
        <w:autoSpaceDN w:val="0"/>
        <w:contextualSpacing/>
        <w:jc w:val="both"/>
      </w:pPr>
      <w:r w:rsidRPr="00197B31">
        <w:t>- о численности, заработной плате работников;</w:t>
      </w:r>
    </w:p>
    <w:p w:rsidR="00C66DB5" w:rsidRPr="00197B31" w:rsidRDefault="00C66DB5" w:rsidP="00197B31">
      <w:pPr>
        <w:autoSpaceDN w:val="0"/>
        <w:contextualSpacing/>
        <w:jc w:val="both"/>
      </w:pPr>
      <w:r w:rsidRPr="00197B31">
        <w:t>- о формах и размерах муниципальной поддержки;</w:t>
      </w:r>
    </w:p>
    <w:p w:rsidR="00C66DB5" w:rsidRPr="00197B31" w:rsidRDefault="00C66DB5" w:rsidP="00197B31">
      <w:pPr>
        <w:autoSpaceDN w:val="0"/>
        <w:contextualSpacing/>
        <w:jc w:val="both"/>
      </w:pPr>
      <w:r w:rsidRPr="00197B31">
        <w:t>- предложения о целесообразности установления налоговых льгот;</w:t>
      </w:r>
    </w:p>
    <w:p w:rsidR="00C66DB5" w:rsidRPr="00197B31" w:rsidRDefault="00C66DB5" w:rsidP="00197B31">
      <w:pPr>
        <w:autoSpaceDN w:val="0"/>
        <w:contextualSpacing/>
        <w:jc w:val="both"/>
      </w:pPr>
      <w:r w:rsidRPr="00197B31">
        <w:t xml:space="preserve">- сведения о цели предоставления налоговых льгот в соответствии с целями муниципальных программ МО «Тимирязевское сельское </w:t>
      </w:r>
      <w:proofErr w:type="spellStart"/>
      <w:proofErr w:type="gramStart"/>
      <w:r w:rsidRPr="00197B31">
        <w:t>поселение»и</w:t>
      </w:r>
      <w:proofErr w:type="spellEnd"/>
      <w:proofErr w:type="gramEnd"/>
      <w:r w:rsidRPr="00197B31">
        <w:t xml:space="preserve"> (или) целями социально-экономической политики МО «Тимирязевское сельское поселение»;</w:t>
      </w:r>
    </w:p>
    <w:p w:rsidR="00C66DB5" w:rsidRPr="00197B31" w:rsidRDefault="00C66DB5" w:rsidP="00197B31">
      <w:pPr>
        <w:autoSpaceDN w:val="0"/>
        <w:contextualSpacing/>
        <w:jc w:val="both"/>
      </w:pPr>
      <w:r w:rsidRPr="00197B31">
        <w:t>- целевой показатель (индикатор) эффективности налогового расхода.</w:t>
      </w:r>
    </w:p>
    <w:p w:rsidR="00C66DB5" w:rsidRPr="00197B31" w:rsidRDefault="00C66DB5" w:rsidP="00197B31">
      <w:pPr>
        <w:autoSpaceDN w:val="0"/>
        <w:contextualSpacing/>
        <w:jc w:val="both"/>
      </w:pPr>
      <w:r w:rsidRPr="00197B31">
        <w:t>Указанная информация должна базироваться на данных налоговой, статистической, финансовой отчетности, а также иной информации, полученной от налогоплательщика.</w:t>
      </w:r>
    </w:p>
    <w:p w:rsidR="00C66DB5" w:rsidRPr="00197B31" w:rsidRDefault="00C66DB5" w:rsidP="00197B31">
      <w:pPr>
        <w:autoSpaceDN w:val="0"/>
        <w:contextualSpacing/>
        <w:jc w:val="both"/>
      </w:pPr>
      <w:r w:rsidRPr="00197B31">
        <w:t>Форма мониторинга</w:t>
      </w:r>
      <w:r w:rsidRPr="00197B31">
        <w:rPr>
          <w:b/>
        </w:rPr>
        <w:t xml:space="preserve"> </w:t>
      </w:r>
      <w:r w:rsidRPr="00197B31">
        <w:t>финансовых и количественных показателей деятельности потенциальных получателей приведена в приложении 1 к Порядку.</w:t>
      </w:r>
    </w:p>
    <w:p w:rsidR="00C66DB5" w:rsidRPr="00197B31" w:rsidRDefault="00C66DB5" w:rsidP="00197B31">
      <w:pPr>
        <w:autoSpaceDN w:val="0"/>
        <w:contextualSpacing/>
        <w:jc w:val="both"/>
      </w:pPr>
      <w:r w:rsidRPr="00197B31">
        <w:t>6.2. Информация, указанная в подпункте 6.1 данного пункта, представляется в следующем объеме:</w:t>
      </w:r>
    </w:p>
    <w:p w:rsidR="00C66DB5" w:rsidRPr="00197B31" w:rsidRDefault="00C66DB5" w:rsidP="00197B31">
      <w:pPr>
        <w:autoSpaceDN w:val="0"/>
        <w:contextualSpacing/>
        <w:jc w:val="both"/>
      </w:pPr>
      <w:r w:rsidRPr="00197B31">
        <w:t>- при общем количестве организаций и индивидуальных предпринимателей, относящихся к категории, рассматриваемой для установления налогового расхода, до 10 единиц – по всем организациям и индивидуальным предпринимателям;</w:t>
      </w:r>
    </w:p>
    <w:p w:rsidR="00C66DB5" w:rsidRPr="00197B31" w:rsidRDefault="00C66DB5" w:rsidP="00197B31">
      <w:pPr>
        <w:autoSpaceDN w:val="0"/>
        <w:contextualSpacing/>
        <w:jc w:val="both"/>
      </w:pPr>
      <w:r w:rsidRPr="00197B31">
        <w:t>- при их количестве от 10 до 30 – не менее чем по 75 процентам организаций и индивидуальных предпринимателей;</w:t>
      </w:r>
    </w:p>
    <w:p w:rsidR="00C66DB5" w:rsidRPr="00197B31" w:rsidRDefault="00C66DB5" w:rsidP="00197B31">
      <w:pPr>
        <w:autoSpaceDN w:val="0"/>
        <w:contextualSpacing/>
        <w:jc w:val="both"/>
      </w:pPr>
      <w:r w:rsidRPr="00197B31">
        <w:t>- при их количестве от 30 до 100 – не менее чем по 50 процентам организаций и индивидуальных предпринимателей;</w:t>
      </w:r>
    </w:p>
    <w:p w:rsidR="00C66DB5" w:rsidRPr="00197B31" w:rsidRDefault="00C66DB5" w:rsidP="00197B31">
      <w:pPr>
        <w:autoSpaceDN w:val="0"/>
        <w:contextualSpacing/>
        <w:jc w:val="both"/>
      </w:pPr>
      <w:r w:rsidRPr="00197B31">
        <w:t>- при их количестве от 100 до 200 – не менее чем по 30 процентам организаций и индивидуальных предпринимателей;</w:t>
      </w:r>
    </w:p>
    <w:p w:rsidR="00C66DB5" w:rsidRPr="00197B31" w:rsidRDefault="00C66DB5" w:rsidP="00197B31">
      <w:pPr>
        <w:autoSpaceDN w:val="0"/>
        <w:contextualSpacing/>
        <w:jc w:val="both"/>
      </w:pPr>
      <w:r w:rsidRPr="00197B31">
        <w:t>- при общем их количестве, равном 200 и более, – не менее чем по 50 организациям и индивидуальным предпринимателям.</w:t>
      </w:r>
    </w:p>
    <w:p w:rsidR="00C66DB5" w:rsidRPr="00197B31" w:rsidRDefault="00C66DB5" w:rsidP="00197B31">
      <w:pPr>
        <w:autoSpaceDN w:val="0"/>
        <w:contextualSpacing/>
        <w:jc w:val="both"/>
      </w:pPr>
      <w:r w:rsidRPr="00197B31">
        <w:t>6.3. На основании сведений, представленных в соответствии с подпунктом 6.1 данного пункта, Администрация готовит информацию для рассмотрения вопроса установления налоговых льгот на заседании Комиссии по предоставлению налоговых льгот при Администрации МО «Тимирязевское сельское поселение».</w:t>
      </w:r>
    </w:p>
    <w:p w:rsidR="00C66DB5" w:rsidRPr="00197B31" w:rsidRDefault="00C66DB5" w:rsidP="00197B31">
      <w:pPr>
        <w:autoSpaceDN w:val="0"/>
        <w:contextualSpacing/>
        <w:jc w:val="both"/>
      </w:pPr>
      <w:r w:rsidRPr="00197B31">
        <w:t xml:space="preserve">6.4. При рассмотрении вопроса установления налоговых льгот в текущем финансовом году информация, указанная в подпункте 6.1 данного пункта, представляется </w:t>
      </w:r>
      <w:proofErr w:type="gramStart"/>
      <w:r w:rsidRPr="00197B31">
        <w:t>в  десятидневный</w:t>
      </w:r>
      <w:proofErr w:type="gramEnd"/>
      <w:r w:rsidRPr="00197B31">
        <w:t xml:space="preserve"> срок со дня получения запроса от Комиссии по предоставлению налоговых льгот при Администрации МО «Тимирязевское сельское поселение».</w:t>
      </w:r>
    </w:p>
    <w:p w:rsidR="00C66DB5" w:rsidRPr="00197B31" w:rsidRDefault="00C66DB5" w:rsidP="00197B31">
      <w:pPr>
        <w:autoSpaceDN w:val="0"/>
        <w:contextualSpacing/>
        <w:jc w:val="both"/>
      </w:pPr>
    </w:p>
    <w:p w:rsidR="00C66DB5" w:rsidRPr="00197B31" w:rsidRDefault="00C66DB5" w:rsidP="00197B31">
      <w:pPr>
        <w:autoSpaceDN w:val="0"/>
        <w:contextualSpacing/>
        <w:jc w:val="both"/>
        <w:outlineLvl w:val="1"/>
      </w:pPr>
      <w:r w:rsidRPr="00197B31">
        <w:rPr>
          <w:lang w:val="en-US"/>
        </w:rPr>
        <w:t>III</w:t>
      </w:r>
      <w:r w:rsidRPr="00197B31">
        <w:t>. Оценка эффективности налоговых расходов МО «Тимирязевское сельское поселение»</w:t>
      </w:r>
    </w:p>
    <w:p w:rsidR="00C66DB5" w:rsidRPr="00197B31" w:rsidRDefault="00C66DB5" w:rsidP="00197B31">
      <w:pPr>
        <w:autoSpaceDN w:val="0"/>
        <w:contextualSpacing/>
        <w:jc w:val="both"/>
        <w:outlineLvl w:val="1"/>
      </w:pPr>
    </w:p>
    <w:p w:rsidR="00C66DB5" w:rsidRPr="00197B31" w:rsidRDefault="00C66DB5" w:rsidP="00197B31">
      <w:pPr>
        <w:autoSpaceDN w:val="0"/>
        <w:contextualSpacing/>
        <w:jc w:val="both"/>
      </w:pPr>
      <w:r w:rsidRPr="00197B31">
        <w:t>7. Оценка эффективности налоговых расходов МО «Тимирязевское сельское поселение»</w:t>
      </w:r>
      <w:r w:rsidR="00171EA0">
        <w:t xml:space="preserve"> </w:t>
      </w:r>
      <w:r w:rsidRPr="00197B31">
        <w:t>производится ежегодно по каждой категории налогоплательщиков.</w:t>
      </w:r>
    </w:p>
    <w:p w:rsidR="00C66DB5" w:rsidRPr="00197B31" w:rsidRDefault="00C66DB5" w:rsidP="00197B31">
      <w:pPr>
        <w:autoSpaceDN w:val="0"/>
        <w:contextualSpacing/>
        <w:jc w:val="both"/>
      </w:pPr>
      <w:r w:rsidRPr="00197B31">
        <w:t>7.1. Оценка эффективности налоговых расходов МО «Тимирязевское сельское поселение»</w:t>
      </w:r>
      <w:r w:rsidR="00171EA0">
        <w:t xml:space="preserve"> </w:t>
      </w:r>
      <w:r w:rsidRPr="00197B31">
        <w:t xml:space="preserve">осуществляется куратором налогового расхода в сроки, установленные подпунктом 5.4 пункта 5 Порядка. </w:t>
      </w:r>
    </w:p>
    <w:p w:rsidR="00C66DB5" w:rsidRPr="00197B31" w:rsidRDefault="00C66DB5" w:rsidP="00197B31">
      <w:pPr>
        <w:autoSpaceDN w:val="0"/>
        <w:contextualSpacing/>
        <w:jc w:val="both"/>
      </w:pPr>
      <w:r w:rsidRPr="00197B31">
        <w:t>7.2. Методики оценки эффективности налоговых расходов МО «Тимирязевское сельское поселение»</w:t>
      </w:r>
      <w:r w:rsidR="00171EA0">
        <w:t xml:space="preserve"> </w:t>
      </w:r>
      <w:r w:rsidRPr="00197B31">
        <w:t xml:space="preserve">разрабатываются и утверждаются кураторами налоговых расходов по согласованию с Администрацией. </w:t>
      </w:r>
    </w:p>
    <w:p w:rsidR="00C66DB5" w:rsidRPr="00197B31" w:rsidRDefault="00C66DB5" w:rsidP="00197B31">
      <w:pPr>
        <w:autoSpaceDN w:val="0"/>
        <w:contextualSpacing/>
        <w:jc w:val="both"/>
      </w:pPr>
      <w:r w:rsidRPr="00197B31">
        <w:t>7.3. Методика оценки эффективности налоговых расходов МО «Тимирязевское сельское поселение»</w:t>
      </w:r>
      <w:r w:rsidR="00171EA0">
        <w:t xml:space="preserve"> </w:t>
      </w:r>
      <w:r w:rsidRPr="00197B31">
        <w:t xml:space="preserve">содержит описание процесса оценки целесообразности и результативности налоговых расходов в соответствии с критериями, установленными общими требованиями к оценке налоговых расходов. </w:t>
      </w:r>
    </w:p>
    <w:p w:rsidR="00C66DB5" w:rsidRPr="00197B31" w:rsidRDefault="00C66DB5" w:rsidP="00197B31">
      <w:pPr>
        <w:autoSpaceDN w:val="0"/>
        <w:contextualSpacing/>
        <w:jc w:val="both"/>
      </w:pPr>
    </w:p>
    <w:p w:rsidR="00C66DB5" w:rsidRPr="00197B31" w:rsidRDefault="00C66DB5" w:rsidP="00197B31">
      <w:pPr>
        <w:autoSpaceDN w:val="0"/>
        <w:contextualSpacing/>
        <w:jc w:val="both"/>
      </w:pPr>
      <w:r w:rsidRPr="00197B31">
        <w:t>I</w:t>
      </w:r>
      <w:r w:rsidRPr="00197B31">
        <w:rPr>
          <w:lang w:val="en-US"/>
        </w:rPr>
        <w:t>V</w:t>
      </w:r>
      <w:r w:rsidRPr="00197B31">
        <w:t>. Обобщение результатов оценки эффективности налоговых расходов МО «Тимирязевское сельское поселение»</w:t>
      </w:r>
    </w:p>
    <w:p w:rsidR="00C66DB5" w:rsidRPr="00197B31" w:rsidRDefault="00C66DB5" w:rsidP="00197B31">
      <w:pPr>
        <w:autoSpaceDN w:val="0"/>
        <w:contextualSpacing/>
        <w:jc w:val="both"/>
      </w:pPr>
      <w:r w:rsidRPr="00197B31">
        <w:lastRenderedPageBreak/>
        <w:t xml:space="preserve"> </w:t>
      </w:r>
    </w:p>
    <w:p w:rsidR="00C66DB5" w:rsidRPr="00197B31" w:rsidRDefault="00C66DB5" w:rsidP="00197B31">
      <w:pPr>
        <w:autoSpaceDN w:val="0"/>
        <w:contextualSpacing/>
        <w:jc w:val="both"/>
      </w:pPr>
      <w:r w:rsidRPr="00197B31">
        <w:t>8. Администрация обобщает результаты оценки эффективности налоговых расходов МО «Тимирязевское сельское поселение»</w:t>
      </w:r>
      <w:r w:rsidR="00171EA0">
        <w:t xml:space="preserve"> </w:t>
      </w:r>
      <w:r w:rsidRPr="00197B31">
        <w:t>и учитывает их при формировании основных направлений бюджетной и налоговой политики МО «Тимирязевское сельское поселение»</w:t>
      </w:r>
      <w:r w:rsidR="00171EA0">
        <w:t xml:space="preserve"> </w:t>
      </w:r>
      <w:r w:rsidRPr="00197B31">
        <w:t>на предстоящий период в сроки, установленные планом-графиком разработки проекта местного бюджета на очередной финансовый год и на плановый период.</w:t>
      </w:r>
    </w:p>
    <w:p w:rsidR="00C66DB5" w:rsidRPr="00197B31" w:rsidRDefault="00C66DB5" w:rsidP="00197B31">
      <w:pPr>
        <w:autoSpaceDN w:val="0"/>
        <w:contextualSpacing/>
        <w:jc w:val="both"/>
      </w:pPr>
    </w:p>
    <w:p w:rsidR="00C66DB5" w:rsidRPr="00197B31" w:rsidRDefault="00C66DB5" w:rsidP="00197B31">
      <w:pPr>
        <w:autoSpaceDN w:val="0"/>
        <w:contextualSpacing/>
        <w:jc w:val="both"/>
      </w:pPr>
      <w:r w:rsidRPr="00197B31">
        <w:rPr>
          <w:lang w:val="en-US"/>
        </w:rPr>
        <w:t>V</w:t>
      </w:r>
      <w:r w:rsidRPr="00197B31">
        <w:t>. Порядок формирования перечня налоговых расходов МО «Тимирязевское сельское поселение»</w:t>
      </w:r>
    </w:p>
    <w:p w:rsidR="00C66DB5" w:rsidRPr="00197B31" w:rsidRDefault="00C66DB5" w:rsidP="00197B31">
      <w:pPr>
        <w:contextualSpacing/>
        <w:jc w:val="both"/>
        <w:outlineLvl w:val="2"/>
      </w:pPr>
      <w:r w:rsidRPr="00197B31">
        <w:t>9. В целях оценки налоговых расходов МО «Тимирязевское сельское поселение»</w:t>
      </w:r>
      <w:r w:rsidR="00171EA0">
        <w:t xml:space="preserve"> </w:t>
      </w:r>
      <w:r w:rsidRPr="00197B31">
        <w:t xml:space="preserve">формируется перечень налоговых расходов МО «Тимирязевское сельское поселение». </w:t>
      </w:r>
    </w:p>
    <w:p w:rsidR="00C66DB5" w:rsidRPr="00197B31" w:rsidRDefault="00C66DB5" w:rsidP="00197B31">
      <w:pPr>
        <w:contextualSpacing/>
        <w:jc w:val="both"/>
        <w:outlineLvl w:val="2"/>
      </w:pPr>
      <w:r w:rsidRPr="00197B31">
        <w:t>10. Администрация формирует перечень налоговых расходов МО «Тимирязевское сельское поселение»</w:t>
      </w:r>
      <w:r w:rsidR="00171EA0">
        <w:t xml:space="preserve"> </w:t>
      </w:r>
      <w:r w:rsidRPr="00197B31">
        <w:t>в порядке, определенном данным разделом Порядка, по форме, приведенной в приложении 2 к Порядку.</w:t>
      </w:r>
    </w:p>
    <w:p w:rsidR="00C66DB5" w:rsidRPr="00197B31" w:rsidRDefault="00C66DB5" w:rsidP="00197B31">
      <w:pPr>
        <w:contextualSpacing/>
        <w:jc w:val="both"/>
        <w:outlineLvl w:val="2"/>
      </w:pPr>
      <w:r w:rsidRPr="00197B31">
        <w:t>11. Администрация разрабатывает проект перечня налоговых расходов МО «Тимирязевское сельское поселение»</w:t>
      </w:r>
      <w:r w:rsidR="00197B31">
        <w:t xml:space="preserve"> </w:t>
      </w:r>
      <w:r w:rsidRPr="00197B31">
        <w:t>на очередной финансовый год и ежегодно в срок до 01 ноября напра</w:t>
      </w:r>
      <w:bookmarkStart w:id="2" w:name="_GoBack"/>
      <w:bookmarkEnd w:id="2"/>
      <w:r w:rsidRPr="00197B31">
        <w:t>вляет указанный проект на согласование кураторам налоговых расходов МО «Тимирязевское сельское поселение»,</w:t>
      </w:r>
      <w:r w:rsidRPr="00197B31">
        <w:rPr>
          <w:rFonts w:eastAsia="Calibri"/>
        </w:rPr>
        <w:t xml:space="preserve"> </w:t>
      </w:r>
      <w:r w:rsidRPr="00197B31">
        <w:t>а также в иные структурные подразделения администрации, которые проектом перечня налоговых расходов МО «Тимирязевское сельское поселение»</w:t>
      </w:r>
      <w:r w:rsidR="00197B31">
        <w:t xml:space="preserve"> </w:t>
      </w:r>
      <w:r w:rsidRPr="00197B31">
        <w:t>предлагается закрепить в качестве кураторов налоговых расходов МО «Тимирязевское сельское поселение».</w:t>
      </w:r>
    </w:p>
    <w:p w:rsidR="00C66DB5" w:rsidRPr="00197B31" w:rsidRDefault="00C66DB5" w:rsidP="00197B31">
      <w:pPr>
        <w:contextualSpacing/>
        <w:jc w:val="both"/>
        <w:rPr>
          <w:rFonts w:eastAsia="Calibri"/>
        </w:rPr>
      </w:pPr>
      <w:r w:rsidRPr="00197B31">
        <w:rPr>
          <w:rFonts w:eastAsia="Calibri"/>
        </w:rPr>
        <w:t>12. Кураторы налоговых расходов МО «Тимирязевское сельское поселение» рассматривают проект перечня налоговых расходов МО «Тимирязевское сельское поселение»</w:t>
      </w:r>
      <w:r w:rsidR="00197B31">
        <w:rPr>
          <w:rFonts w:eastAsia="Calibri"/>
        </w:rPr>
        <w:t xml:space="preserve"> </w:t>
      </w:r>
      <w:r w:rsidRPr="00197B31">
        <w:rPr>
          <w:rFonts w:eastAsia="Calibri"/>
        </w:rPr>
        <w:t>на предмет соответствия целей налоговых расходов МО «Тимирязевское сельское поселение»</w:t>
      </w:r>
      <w:r w:rsidR="00197B31">
        <w:rPr>
          <w:rFonts w:eastAsia="Calibri"/>
        </w:rPr>
        <w:t xml:space="preserve"> </w:t>
      </w:r>
      <w:r w:rsidRPr="00197B31">
        <w:rPr>
          <w:rFonts w:eastAsia="Calibri"/>
        </w:rPr>
        <w:t xml:space="preserve">целям  муниципальных программ  (подпрограмм муниципальных программ)  и (или) целям социально-экономического развития МО «Тимирязевское сельское поселение», не относящимся к  муниципальным программам (подпрограммам муниципальных программ) МО «Тимирязевское сельское поселение», и в срок до 10 ноября информируют Администрацию о согласовании перечня налоговых расходов МО «Тимирязевское сельское поселение». </w:t>
      </w:r>
    </w:p>
    <w:p w:rsidR="00C66DB5" w:rsidRPr="00197B31" w:rsidRDefault="00C66DB5" w:rsidP="00197B31">
      <w:pPr>
        <w:contextualSpacing/>
        <w:jc w:val="both"/>
        <w:rPr>
          <w:rFonts w:eastAsia="Calibri"/>
        </w:rPr>
      </w:pPr>
      <w:r w:rsidRPr="00197B31">
        <w:rPr>
          <w:rFonts w:eastAsia="Calibri"/>
        </w:rPr>
        <w:t>В случае несогласия с распределением налоговых расходов МО «Тимирязевское сельское поселение»</w:t>
      </w:r>
      <w:r w:rsidR="00197B31">
        <w:rPr>
          <w:rFonts w:eastAsia="Calibri"/>
        </w:rPr>
        <w:t xml:space="preserve"> </w:t>
      </w:r>
      <w:r w:rsidRPr="00197B31">
        <w:rPr>
          <w:rFonts w:eastAsia="Calibri"/>
        </w:rPr>
        <w:t>кураторы налоговых расходов МО «Тимирязевское сельское поселение»</w:t>
      </w:r>
      <w:r w:rsidR="00197B31">
        <w:rPr>
          <w:rFonts w:eastAsia="Calibri"/>
        </w:rPr>
        <w:t xml:space="preserve"> </w:t>
      </w:r>
      <w:r w:rsidRPr="00197B31">
        <w:rPr>
          <w:rFonts w:eastAsia="Calibri"/>
        </w:rPr>
        <w:t>в срок, указанный в абзаце первом данного пункта, направляют в Администрацию предложения по уточнению распределения налоговых расходов МО «Тимирязевское сельское поселение»</w:t>
      </w:r>
      <w:r w:rsidR="00197B31">
        <w:rPr>
          <w:rFonts w:eastAsia="Calibri"/>
        </w:rPr>
        <w:t xml:space="preserve"> </w:t>
      </w:r>
      <w:r w:rsidRPr="00197B31">
        <w:rPr>
          <w:rFonts w:eastAsia="Calibri"/>
        </w:rPr>
        <w:t>с указанием цели  муниципальной программы (подпрограммы  муниципальной программы) МО «Тимирязевское сельское поселение»</w:t>
      </w:r>
      <w:r w:rsidR="00197B31">
        <w:rPr>
          <w:rFonts w:eastAsia="Calibri"/>
        </w:rPr>
        <w:t xml:space="preserve"> </w:t>
      </w:r>
      <w:r w:rsidRPr="00197B31">
        <w:rPr>
          <w:rFonts w:eastAsia="Calibri"/>
        </w:rPr>
        <w:t>и (или) целей социально-экономического развития МО «Тимирязевское сельское поселение», а также по изменению кураторов налоговых расходов МО «Тимирязевское сельское поселение», к которым необходимо отнести налоговые расходы МО «Тимирязевское сельское поселение». Предложения по изменению куратора налоговых расходов МО «Тимирязевское сельское поселение»</w:t>
      </w:r>
      <w:r w:rsidR="00197B31">
        <w:rPr>
          <w:rFonts w:eastAsia="Calibri"/>
        </w:rPr>
        <w:t xml:space="preserve"> </w:t>
      </w:r>
      <w:r w:rsidRPr="00197B31">
        <w:rPr>
          <w:rFonts w:eastAsia="Calibri"/>
        </w:rPr>
        <w:t xml:space="preserve">должны быть согласованы с предлагаемым куратором налоговых расходов МО «Тимирязевское сельское поселение». </w:t>
      </w:r>
    </w:p>
    <w:p w:rsidR="00C66DB5" w:rsidRPr="00197B31" w:rsidRDefault="00C66DB5" w:rsidP="00197B31">
      <w:pPr>
        <w:contextualSpacing/>
        <w:jc w:val="both"/>
      </w:pPr>
      <w:r w:rsidRPr="00197B31">
        <w:t xml:space="preserve">В случае если результаты рассмотрения </w:t>
      </w:r>
      <w:r w:rsidRPr="00197B31">
        <w:rPr>
          <w:rFonts w:eastAsia="Calibri"/>
        </w:rPr>
        <w:t>проекта перечня налоговых расходов МО «Тимирязевское сельское поселение»</w:t>
      </w:r>
      <w:r w:rsidR="00197B31">
        <w:rPr>
          <w:rFonts w:eastAsia="Calibri"/>
        </w:rPr>
        <w:t xml:space="preserve"> </w:t>
      </w:r>
      <w:r w:rsidRPr="00197B31">
        <w:t>не направлены в Администрацию в течение срока, указанного в абзаце первом данного пункта, проект перечня налоговых расходов МО «Тимирязевское сельское поселение»</w:t>
      </w:r>
      <w:r w:rsidR="00197B31">
        <w:t xml:space="preserve"> </w:t>
      </w:r>
      <w:r w:rsidRPr="00197B31">
        <w:t>считается согласованным.</w:t>
      </w:r>
    </w:p>
    <w:p w:rsidR="00C66DB5" w:rsidRPr="00197B31" w:rsidRDefault="00C66DB5" w:rsidP="00197B31">
      <w:pPr>
        <w:contextualSpacing/>
        <w:jc w:val="both"/>
        <w:outlineLvl w:val="2"/>
      </w:pPr>
      <w:r w:rsidRPr="00197B31">
        <w:t xml:space="preserve">В случае если замечания к отдельным позициям проекта перечня налоговых расходов МО «Тимирязевское сельское </w:t>
      </w:r>
      <w:proofErr w:type="spellStart"/>
      <w:proofErr w:type="gramStart"/>
      <w:r w:rsidRPr="00197B31">
        <w:t>поселение»не</w:t>
      </w:r>
      <w:proofErr w:type="spellEnd"/>
      <w:proofErr w:type="gramEnd"/>
      <w:r w:rsidRPr="00197B31">
        <w:t xml:space="preserve"> содержат конкретных предложений по уточнению распределения налоговых расходов МО «Тимирязевское сельское поселение», проект перечня налоговых расходов МО «Тимирязевское сельское </w:t>
      </w:r>
      <w:proofErr w:type="spellStart"/>
      <w:r w:rsidRPr="00197B31">
        <w:t>поселение»считается</w:t>
      </w:r>
      <w:proofErr w:type="spellEnd"/>
      <w:r w:rsidRPr="00197B31">
        <w:t xml:space="preserve"> согласованным в отношении соответствующих позиций.</w:t>
      </w:r>
    </w:p>
    <w:p w:rsidR="00C66DB5" w:rsidRPr="00197B31" w:rsidRDefault="00C66DB5" w:rsidP="00197B31">
      <w:pPr>
        <w:contextualSpacing/>
        <w:jc w:val="both"/>
        <w:outlineLvl w:val="2"/>
      </w:pPr>
      <w:r w:rsidRPr="00197B31">
        <w:t xml:space="preserve">При наличии разногласий по проекту перечня налоговых расходов МО «Тимирязевское сельское </w:t>
      </w:r>
      <w:proofErr w:type="spellStart"/>
      <w:proofErr w:type="gramStart"/>
      <w:r w:rsidRPr="00197B31">
        <w:t>поселение»Администрация</w:t>
      </w:r>
      <w:proofErr w:type="spellEnd"/>
      <w:proofErr w:type="gramEnd"/>
      <w:r w:rsidRPr="00197B31">
        <w:t xml:space="preserve"> обеспечивает проведение согласительных совещаний с соответствующими структурными подразделениями администрации до 20 ноября текущего финансового года.</w:t>
      </w:r>
    </w:p>
    <w:p w:rsidR="00C66DB5" w:rsidRPr="00197B31" w:rsidRDefault="00C66DB5" w:rsidP="00197B31">
      <w:pPr>
        <w:contextualSpacing/>
        <w:jc w:val="both"/>
        <w:outlineLvl w:val="2"/>
        <w:rPr>
          <w:spacing w:val="-4"/>
        </w:rPr>
      </w:pPr>
      <w:r w:rsidRPr="00197B31">
        <w:rPr>
          <w:spacing w:val="-4"/>
        </w:rPr>
        <w:lastRenderedPageBreak/>
        <w:t xml:space="preserve">13. После завершения процедур, указанных в пункте 13 данного раздела Порядка, перечень налоговых расходов МО «Тимирязевское сельское </w:t>
      </w:r>
      <w:proofErr w:type="spellStart"/>
      <w:proofErr w:type="gramStart"/>
      <w:r w:rsidRPr="00197B31">
        <w:rPr>
          <w:spacing w:val="-4"/>
        </w:rPr>
        <w:t>поселение»считается</w:t>
      </w:r>
      <w:proofErr w:type="spellEnd"/>
      <w:proofErr w:type="gramEnd"/>
      <w:r w:rsidRPr="00197B31">
        <w:rPr>
          <w:spacing w:val="-4"/>
        </w:rPr>
        <w:t xml:space="preserve"> сформированным и не позднее 01 декабря размещается на странице Администрации на официальном сайте администрации МО «Тимирязевское сельское </w:t>
      </w:r>
      <w:proofErr w:type="spellStart"/>
      <w:r w:rsidRPr="00197B31">
        <w:rPr>
          <w:spacing w:val="-4"/>
        </w:rPr>
        <w:t>поселение»в</w:t>
      </w:r>
      <w:proofErr w:type="spellEnd"/>
      <w:r w:rsidRPr="00197B31">
        <w:rPr>
          <w:spacing w:val="-4"/>
        </w:rPr>
        <w:t> информационно-телекоммуникационной сети «Интернет».</w:t>
      </w:r>
    </w:p>
    <w:p w:rsidR="00C66DB5" w:rsidRPr="00197B31" w:rsidRDefault="00C66DB5" w:rsidP="00197B31">
      <w:pPr>
        <w:contextualSpacing/>
        <w:jc w:val="both"/>
        <w:outlineLvl w:val="2"/>
      </w:pPr>
      <w:r w:rsidRPr="00197B31">
        <w:t xml:space="preserve">14. В случае изменения в текущем финансовом году состава налоговых расходов МО «Тимирязевское сельское поселение», внесения изменений в перечень  муниципальных программ (подпрограмм муниципальных программ) МО «Тимирязевское сельское поселение», изменения полномочий структурных подразделений администрации, указанных в пункте 13 данного раздела Порядка, затрагивающих перечень налоговых расходов МО «Тимирязевское сельское поселение», кураторы налоговых расходов МО «Тимирязевское сельское </w:t>
      </w:r>
      <w:proofErr w:type="spellStart"/>
      <w:r w:rsidRPr="00197B31">
        <w:t>поселение»в</w:t>
      </w:r>
      <w:proofErr w:type="spellEnd"/>
      <w:r w:rsidRPr="00197B31">
        <w:t xml:space="preserve"> срок не позднее 10 рабочих дней с даты изменений направляют в Администрацию информацию для уточнения перечня налоговых расходов МО «Тимирязевское сельское поселение». Администрация вносит соответствующие изменения в перечень налоговых расходов МО «Тимирязевское сельское </w:t>
      </w:r>
      <w:proofErr w:type="spellStart"/>
      <w:proofErr w:type="gramStart"/>
      <w:r w:rsidRPr="00197B31">
        <w:t>поселение»и</w:t>
      </w:r>
      <w:proofErr w:type="spellEnd"/>
      <w:proofErr w:type="gramEnd"/>
      <w:r w:rsidRPr="00197B31">
        <w:t xml:space="preserve"> в течение 15 рабочих дней после даты получения указанной информации размещает перечень налоговых расходов МО «Тимирязевское сельское </w:t>
      </w:r>
      <w:proofErr w:type="spellStart"/>
      <w:r w:rsidRPr="00197B31">
        <w:t>поселение»на</w:t>
      </w:r>
      <w:proofErr w:type="spellEnd"/>
      <w:r w:rsidRPr="00197B31">
        <w:t xml:space="preserve"> странице Администрации  </w:t>
      </w:r>
      <w:r w:rsidRPr="00197B31">
        <w:rPr>
          <w:spacing w:val="-4"/>
        </w:rPr>
        <w:t xml:space="preserve">на официальном сайте администрации МО «Тимирязевское сельское </w:t>
      </w:r>
      <w:proofErr w:type="spellStart"/>
      <w:r w:rsidRPr="00197B31">
        <w:rPr>
          <w:spacing w:val="-4"/>
        </w:rPr>
        <w:t>поселение»</w:t>
      </w:r>
      <w:r w:rsidRPr="00197B31">
        <w:t>в</w:t>
      </w:r>
      <w:proofErr w:type="spellEnd"/>
      <w:r w:rsidRPr="00197B31">
        <w:t xml:space="preserve"> информационно-телекоммуникационной сети «Интернет».</w:t>
      </w:r>
    </w:p>
    <w:p w:rsidR="00C66DB5" w:rsidRPr="00197B31" w:rsidRDefault="00C66DB5" w:rsidP="00197B31">
      <w:pPr>
        <w:pStyle w:val="a3"/>
        <w:ind w:left="0"/>
        <w:jc w:val="both"/>
        <w:outlineLvl w:val="2"/>
        <w:rPr>
          <w:rFonts w:cs="Times New Roman"/>
          <w:sz w:val="24"/>
          <w:szCs w:val="24"/>
        </w:rPr>
      </w:pPr>
    </w:p>
    <w:p w:rsidR="00C66DB5" w:rsidRPr="00197B31" w:rsidRDefault="00C66DB5" w:rsidP="00197B31">
      <w:pPr>
        <w:pStyle w:val="a3"/>
        <w:ind w:left="0"/>
        <w:jc w:val="both"/>
        <w:outlineLvl w:val="2"/>
        <w:rPr>
          <w:rFonts w:cs="Times New Roman"/>
          <w:sz w:val="24"/>
          <w:szCs w:val="24"/>
        </w:rPr>
      </w:pPr>
    </w:p>
    <w:p w:rsidR="00C66DB5" w:rsidRPr="00197B31" w:rsidRDefault="00C66DB5" w:rsidP="00197B31">
      <w:pPr>
        <w:jc w:val="both"/>
        <w:outlineLvl w:val="2"/>
      </w:pPr>
    </w:p>
    <w:p w:rsidR="00C66DB5" w:rsidRPr="00197B31" w:rsidRDefault="00C66DB5" w:rsidP="00197B31">
      <w:pPr>
        <w:pStyle w:val="a3"/>
        <w:ind w:left="0"/>
        <w:jc w:val="both"/>
        <w:outlineLvl w:val="2"/>
        <w:rPr>
          <w:rFonts w:cs="Times New Roman"/>
          <w:sz w:val="24"/>
          <w:szCs w:val="24"/>
        </w:rPr>
      </w:pPr>
    </w:p>
    <w:p w:rsidR="00C66DB5" w:rsidRPr="00197B31" w:rsidRDefault="00C66DB5" w:rsidP="00197B31">
      <w:pPr>
        <w:pStyle w:val="a3"/>
        <w:ind w:left="0"/>
        <w:jc w:val="both"/>
        <w:outlineLvl w:val="2"/>
        <w:rPr>
          <w:rFonts w:cs="Times New Roman"/>
          <w:sz w:val="24"/>
          <w:szCs w:val="24"/>
        </w:rPr>
      </w:pPr>
    </w:p>
    <w:p w:rsidR="00C66DB5" w:rsidRPr="00197B31" w:rsidRDefault="00C66DB5" w:rsidP="00197B31">
      <w:pPr>
        <w:spacing w:after="200" w:line="276" w:lineRule="auto"/>
        <w:jc w:val="both"/>
        <w:rPr>
          <w:lang w:eastAsia="en-US"/>
        </w:rPr>
      </w:pPr>
    </w:p>
    <w:p w:rsidR="00C66DB5" w:rsidRPr="00197B31" w:rsidRDefault="00C66DB5" w:rsidP="00197B31">
      <w:pPr>
        <w:spacing w:after="200" w:line="276" w:lineRule="auto"/>
        <w:jc w:val="both"/>
        <w:rPr>
          <w:lang w:eastAsia="en-US"/>
        </w:rPr>
      </w:pPr>
    </w:p>
    <w:p w:rsidR="00C66DB5" w:rsidRPr="00197B31" w:rsidRDefault="00C66DB5" w:rsidP="00197B31">
      <w:pPr>
        <w:spacing w:after="200" w:line="276" w:lineRule="auto"/>
        <w:jc w:val="both"/>
        <w:rPr>
          <w:lang w:eastAsia="en-US"/>
        </w:rPr>
      </w:pPr>
    </w:p>
    <w:p w:rsidR="00197B31" w:rsidRDefault="00197B31" w:rsidP="00197B31">
      <w:pPr>
        <w:spacing w:after="200" w:line="276" w:lineRule="auto"/>
        <w:jc w:val="both"/>
        <w:rPr>
          <w:lang w:eastAsia="en-US"/>
        </w:rPr>
      </w:pPr>
    </w:p>
    <w:p w:rsidR="00197B31" w:rsidRDefault="00197B31" w:rsidP="00197B31">
      <w:pPr>
        <w:spacing w:after="200" w:line="276" w:lineRule="auto"/>
        <w:jc w:val="both"/>
        <w:rPr>
          <w:lang w:eastAsia="en-US"/>
        </w:rPr>
      </w:pPr>
    </w:p>
    <w:p w:rsidR="00197B31" w:rsidRDefault="00197B31" w:rsidP="00197B31">
      <w:pPr>
        <w:spacing w:after="200" w:line="276" w:lineRule="auto"/>
        <w:jc w:val="both"/>
        <w:rPr>
          <w:lang w:eastAsia="en-US"/>
        </w:rPr>
      </w:pPr>
    </w:p>
    <w:p w:rsidR="00197B31" w:rsidRDefault="00197B31" w:rsidP="00197B31">
      <w:pPr>
        <w:spacing w:after="200" w:line="276" w:lineRule="auto"/>
        <w:jc w:val="both"/>
        <w:rPr>
          <w:lang w:eastAsia="en-US"/>
        </w:rPr>
      </w:pPr>
    </w:p>
    <w:p w:rsidR="00197B31" w:rsidRDefault="00197B31" w:rsidP="00197B31">
      <w:pPr>
        <w:spacing w:after="200" w:line="276" w:lineRule="auto"/>
        <w:jc w:val="both"/>
        <w:rPr>
          <w:lang w:eastAsia="en-US"/>
        </w:rPr>
      </w:pPr>
    </w:p>
    <w:p w:rsidR="00197B31" w:rsidRDefault="00197B31" w:rsidP="00197B31">
      <w:pPr>
        <w:spacing w:after="200" w:line="276" w:lineRule="auto"/>
        <w:jc w:val="both"/>
        <w:rPr>
          <w:lang w:eastAsia="en-US"/>
        </w:rPr>
      </w:pPr>
    </w:p>
    <w:p w:rsidR="00197B31" w:rsidRDefault="00197B31" w:rsidP="00197B31">
      <w:pPr>
        <w:spacing w:after="200" w:line="276" w:lineRule="auto"/>
        <w:jc w:val="both"/>
        <w:rPr>
          <w:lang w:eastAsia="en-US"/>
        </w:rPr>
      </w:pPr>
    </w:p>
    <w:p w:rsidR="00197B31" w:rsidRDefault="00197B31" w:rsidP="00197B31">
      <w:pPr>
        <w:spacing w:after="200" w:line="276" w:lineRule="auto"/>
        <w:jc w:val="both"/>
        <w:rPr>
          <w:lang w:eastAsia="en-US"/>
        </w:rPr>
      </w:pPr>
    </w:p>
    <w:p w:rsidR="00197B31" w:rsidRDefault="00197B31" w:rsidP="00197B31">
      <w:pPr>
        <w:spacing w:after="200" w:line="276" w:lineRule="auto"/>
        <w:jc w:val="both"/>
        <w:rPr>
          <w:lang w:eastAsia="en-US"/>
        </w:rPr>
      </w:pPr>
    </w:p>
    <w:p w:rsidR="00197B31" w:rsidRDefault="00197B31" w:rsidP="00197B31">
      <w:pPr>
        <w:spacing w:after="200" w:line="276" w:lineRule="auto"/>
        <w:jc w:val="both"/>
        <w:rPr>
          <w:lang w:eastAsia="en-US"/>
        </w:rPr>
      </w:pPr>
    </w:p>
    <w:p w:rsidR="00197B31" w:rsidRDefault="00197B31" w:rsidP="00197B31">
      <w:pPr>
        <w:spacing w:after="200" w:line="276" w:lineRule="auto"/>
        <w:jc w:val="both"/>
        <w:rPr>
          <w:lang w:eastAsia="en-US"/>
        </w:rPr>
      </w:pPr>
    </w:p>
    <w:p w:rsidR="00197B31" w:rsidRDefault="00197B31" w:rsidP="00197B31">
      <w:pPr>
        <w:spacing w:after="200" w:line="276" w:lineRule="auto"/>
        <w:jc w:val="both"/>
        <w:rPr>
          <w:lang w:eastAsia="en-US"/>
        </w:rPr>
      </w:pPr>
    </w:p>
    <w:p w:rsidR="00197B31" w:rsidRDefault="00197B31" w:rsidP="00197B31">
      <w:pPr>
        <w:spacing w:after="200" w:line="276" w:lineRule="auto"/>
        <w:jc w:val="both"/>
        <w:rPr>
          <w:lang w:eastAsia="en-US"/>
        </w:rPr>
      </w:pPr>
    </w:p>
    <w:p w:rsidR="00C66DB5" w:rsidRPr="00197B31" w:rsidRDefault="00C66DB5" w:rsidP="00197B31">
      <w:pPr>
        <w:spacing w:after="200" w:line="276" w:lineRule="auto"/>
        <w:jc w:val="right"/>
      </w:pPr>
      <w:r w:rsidRPr="00197B31">
        <w:rPr>
          <w:lang w:eastAsia="en-US"/>
        </w:rPr>
        <w:t xml:space="preserve"> </w:t>
      </w:r>
      <w:r w:rsidRPr="00197B31">
        <w:t>Приложение 1 к Порядку</w:t>
      </w:r>
    </w:p>
    <w:p w:rsidR="00C66DB5" w:rsidRPr="00197B31" w:rsidRDefault="00C66DB5" w:rsidP="00197B31">
      <w:pPr>
        <w:autoSpaceDN w:val="0"/>
        <w:contextualSpacing/>
        <w:jc w:val="both"/>
      </w:pPr>
    </w:p>
    <w:p w:rsidR="00C66DB5" w:rsidRPr="00197B31" w:rsidRDefault="00C66DB5" w:rsidP="00197B31">
      <w:pPr>
        <w:autoSpaceDN w:val="0"/>
        <w:contextualSpacing/>
        <w:jc w:val="center"/>
        <w:rPr>
          <w:b/>
        </w:rPr>
      </w:pPr>
      <w:r w:rsidRPr="00197B31">
        <w:rPr>
          <w:b/>
        </w:rPr>
        <w:t>МОНИТОРИНГ</w:t>
      </w:r>
    </w:p>
    <w:p w:rsidR="00C66DB5" w:rsidRPr="00197B31" w:rsidRDefault="00C66DB5" w:rsidP="00197B31">
      <w:pPr>
        <w:autoSpaceDN w:val="0"/>
        <w:contextualSpacing/>
        <w:jc w:val="center"/>
      </w:pPr>
      <w:proofErr w:type="gramStart"/>
      <w:r w:rsidRPr="00197B31">
        <w:rPr>
          <w:b/>
        </w:rPr>
        <w:t>финансовых</w:t>
      </w:r>
      <w:proofErr w:type="gramEnd"/>
      <w:r w:rsidRPr="00197B31">
        <w:rPr>
          <w:b/>
        </w:rPr>
        <w:t xml:space="preserve"> и количественных показателей деятельности </w:t>
      </w:r>
      <w:r w:rsidRPr="00197B31">
        <w:rPr>
          <w:b/>
        </w:rPr>
        <w:br/>
        <w:t xml:space="preserve">потенциальных получателей налоговых льгот, освобождений и иных преференций, предусмотренных в качестве мер  муниципальной  </w:t>
      </w:r>
      <w:r w:rsidRPr="00197B31">
        <w:rPr>
          <w:b/>
        </w:rPr>
        <w:br/>
        <w:t xml:space="preserve">поддержки в соответствии с целями  муниципальных программ </w:t>
      </w:r>
      <w:r w:rsidRPr="00197B31">
        <w:rPr>
          <w:b/>
        </w:rPr>
        <w:br/>
      </w:r>
      <w:r w:rsidRPr="00197B31">
        <w:rPr>
          <w:b/>
          <w:spacing w:val="-4"/>
        </w:rPr>
        <w:t>МО «Тимирязевское сельское поселение» и (или) целями социально-экономической политики</w:t>
      </w:r>
      <w:r w:rsidRPr="00197B31">
        <w:rPr>
          <w:b/>
        </w:rPr>
        <w:t xml:space="preserve"> МО «Тимирязевское сельское поселение»</w:t>
      </w:r>
    </w:p>
    <w:p w:rsidR="00C66DB5" w:rsidRPr="00197B31" w:rsidRDefault="00C66DB5" w:rsidP="00197B31">
      <w:pPr>
        <w:autoSpaceDN w:val="0"/>
        <w:contextualSpacing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20" w:firstRow="1" w:lastRow="0" w:firstColumn="0" w:lastColumn="0" w:noHBand="0" w:noVBand="0"/>
      </w:tblPr>
      <w:tblGrid>
        <w:gridCol w:w="567"/>
        <w:gridCol w:w="2459"/>
        <w:gridCol w:w="1984"/>
        <w:gridCol w:w="1448"/>
        <w:gridCol w:w="1449"/>
        <w:gridCol w:w="1449"/>
      </w:tblGrid>
      <w:tr w:rsidR="00C66DB5" w:rsidRPr="00197B31" w:rsidTr="000A083B">
        <w:tc>
          <w:tcPr>
            <w:tcW w:w="567" w:type="dxa"/>
            <w:vMerge w:val="restart"/>
          </w:tcPr>
          <w:p w:rsidR="00C66DB5" w:rsidRPr="00197B31" w:rsidRDefault="00C66DB5" w:rsidP="00197B31">
            <w:pPr>
              <w:autoSpaceDN w:val="0"/>
              <w:contextualSpacing/>
              <w:jc w:val="both"/>
            </w:pPr>
            <w:r w:rsidRPr="00197B31">
              <w:t>№</w:t>
            </w:r>
          </w:p>
          <w:p w:rsidR="00C66DB5" w:rsidRPr="00197B31" w:rsidDel="00170DB7" w:rsidRDefault="00C66DB5" w:rsidP="00197B31">
            <w:pPr>
              <w:autoSpaceDN w:val="0"/>
              <w:contextualSpacing/>
              <w:jc w:val="both"/>
            </w:pPr>
            <w:proofErr w:type="gramStart"/>
            <w:r w:rsidRPr="00197B31">
              <w:t>п</w:t>
            </w:r>
            <w:proofErr w:type="gramEnd"/>
            <w:r w:rsidRPr="00197B31">
              <w:t>/п</w:t>
            </w:r>
            <w:r w:rsidRPr="00197B31" w:rsidDel="00170DB7">
              <w:t xml:space="preserve"> </w:t>
            </w:r>
          </w:p>
        </w:tc>
        <w:tc>
          <w:tcPr>
            <w:tcW w:w="2459" w:type="dxa"/>
            <w:vMerge w:val="restart"/>
          </w:tcPr>
          <w:p w:rsidR="00C66DB5" w:rsidRPr="00197B31" w:rsidRDefault="00C66DB5" w:rsidP="00197B31">
            <w:pPr>
              <w:autoSpaceDN w:val="0"/>
              <w:contextualSpacing/>
              <w:jc w:val="both"/>
            </w:pPr>
            <w:r w:rsidRPr="00197B31">
              <w:t xml:space="preserve">Наименование </w:t>
            </w:r>
            <w:r w:rsidRPr="00197B31">
              <w:br/>
              <w:t>показателя</w:t>
            </w:r>
          </w:p>
        </w:tc>
        <w:tc>
          <w:tcPr>
            <w:tcW w:w="6330" w:type="dxa"/>
            <w:gridSpan w:val="4"/>
          </w:tcPr>
          <w:p w:rsidR="00C66DB5" w:rsidRPr="00197B31" w:rsidRDefault="00C66DB5" w:rsidP="00197B31">
            <w:pPr>
              <w:autoSpaceDN w:val="0"/>
              <w:contextualSpacing/>
              <w:jc w:val="both"/>
            </w:pPr>
            <w:r w:rsidRPr="00197B31">
              <w:t>Периоды</w:t>
            </w:r>
          </w:p>
        </w:tc>
      </w:tr>
      <w:tr w:rsidR="00C66DB5" w:rsidRPr="00197B31" w:rsidTr="000A083B">
        <w:trPr>
          <w:trHeight w:val="978"/>
        </w:trPr>
        <w:tc>
          <w:tcPr>
            <w:tcW w:w="567" w:type="dxa"/>
            <w:vMerge/>
          </w:tcPr>
          <w:p w:rsidR="00C66DB5" w:rsidRPr="00197B31" w:rsidRDefault="00C66DB5" w:rsidP="00197B31">
            <w:pPr>
              <w:contextualSpacing/>
              <w:jc w:val="both"/>
            </w:pPr>
          </w:p>
        </w:tc>
        <w:tc>
          <w:tcPr>
            <w:tcW w:w="2459" w:type="dxa"/>
            <w:vMerge/>
          </w:tcPr>
          <w:p w:rsidR="00C66DB5" w:rsidRPr="00197B31" w:rsidRDefault="00C66DB5" w:rsidP="00197B31">
            <w:pPr>
              <w:contextualSpacing/>
              <w:jc w:val="both"/>
            </w:pPr>
          </w:p>
        </w:tc>
        <w:tc>
          <w:tcPr>
            <w:tcW w:w="1984" w:type="dxa"/>
          </w:tcPr>
          <w:p w:rsidR="00C66DB5" w:rsidRPr="00197B31" w:rsidRDefault="00C66DB5" w:rsidP="00197B31">
            <w:pPr>
              <w:autoSpaceDN w:val="0"/>
              <w:contextualSpacing/>
              <w:jc w:val="both"/>
            </w:pPr>
            <w:proofErr w:type="gramStart"/>
            <w:r w:rsidRPr="00197B31">
              <w:t>год</w:t>
            </w:r>
            <w:proofErr w:type="gramEnd"/>
            <w:r w:rsidRPr="00197B31">
              <w:t>, предшествующий отчетному году</w:t>
            </w:r>
          </w:p>
        </w:tc>
        <w:tc>
          <w:tcPr>
            <w:tcW w:w="1448" w:type="dxa"/>
          </w:tcPr>
          <w:p w:rsidR="00C66DB5" w:rsidRPr="00197B31" w:rsidRDefault="00C66DB5" w:rsidP="00197B31">
            <w:pPr>
              <w:autoSpaceDN w:val="0"/>
              <w:contextualSpacing/>
              <w:jc w:val="both"/>
            </w:pPr>
            <w:proofErr w:type="gramStart"/>
            <w:r w:rsidRPr="00197B31">
              <w:t>отчетный</w:t>
            </w:r>
            <w:proofErr w:type="gramEnd"/>
            <w:r w:rsidRPr="00197B31">
              <w:t xml:space="preserve"> год</w:t>
            </w:r>
          </w:p>
        </w:tc>
        <w:tc>
          <w:tcPr>
            <w:tcW w:w="1449" w:type="dxa"/>
          </w:tcPr>
          <w:p w:rsidR="00C66DB5" w:rsidRPr="00197B31" w:rsidRDefault="00C66DB5" w:rsidP="00197B31">
            <w:pPr>
              <w:autoSpaceDN w:val="0"/>
              <w:contextualSpacing/>
              <w:jc w:val="both"/>
            </w:pPr>
            <w:proofErr w:type="gramStart"/>
            <w:r w:rsidRPr="00197B31">
              <w:t>текущий</w:t>
            </w:r>
            <w:proofErr w:type="gramEnd"/>
            <w:r w:rsidRPr="00197B31">
              <w:t xml:space="preserve"> год</w:t>
            </w:r>
          </w:p>
        </w:tc>
        <w:tc>
          <w:tcPr>
            <w:tcW w:w="1449" w:type="dxa"/>
          </w:tcPr>
          <w:p w:rsidR="00C66DB5" w:rsidRPr="00197B31" w:rsidRDefault="00C66DB5" w:rsidP="00197B31">
            <w:pPr>
              <w:autoSpaceDN w:val="0"/>
              <w:contextualSpacing/>
              <w:jc w:val="both"/>
            </w:pPr>
            <w:proofErr w:type="gramStart"/>
            <w:r w:rsidRPr="00197B31">
              <w:t>очередной</w:t>
            </w:r>
            <w:proofErr w:type="gramEnd"/>
            <w:r w:rsidRPr="00197B31">
              <w:t xml:space="preserve"> год</w:t>
            </w:r>
          </w:p>
        </w:tc>
      </w:tr>
    </w:tbl>
    <w:p w:rsidR="00C66DB5" w:rsidRPr="00197B31" w:rsidRDefault="00C66DB5" w:rsidP="00197B31">
      <w:pPr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20" w:firstRow="1" w:lastRow="0" w:firstColumn="0" w:lastColumn="0" w:noHBand="0" w:noVBand="0"/>
      </w:tblPr>
      <w:tblGrid>
        <w:gridCol w:w="567"/>
        <w:gridCol w:w="2459"/>
        <w:gridCol w:w="1984"/>
        <w:gridCol w:w="1448"/>
        <w:gridCol w:w="1449"/>
        <w:gridCol w:w="1449"/>
      </w:tblGrid>
      <w:tr w:rsidR="00C66DB5" w:rsidRPr="00197B31" w:rsidTr="000A083B">
        <w:trPr>
          <w:trHeight w:val="297"/>
          <w:tblHeader/>
        </w:trPr>
        <w:tc>
          <w:tcPr>
            <w:tcW w:w="567" w:type="dxa"/>
          </w:tcPr>
          <w:p w:rsidR="00C66DB5" w:rsidRPr="00197B31" w:rsidRDefault="00C66DB5" w:rsidP="00197B31">
            <w:pPr>
              <w:autoSpaceDN w:val="0"/>
              <w:spacing w:line="235" w:lineRule="auto"/>
              <w:ind w:left="2207" w:hanging="2269"/>
              <w:contextualSpacing/>
              <w:jc w:val="both"/>
            </w:pPr>
            <w:r w:rsidRPr="00197B31">
              <w:t>1</w:t>
            </w:r>
          </w:p>
        </w:tc>
        <w:tc>
          <w:tcPr>
            <w:tcW w:w="2459" w:type="dxa"/>
          </w:tcPr>
          <w:p w:rsidR="00C66DB5" w:rsidRPr="00197B31" w:rsidRDefault="00C66DB5" w:rsidP="00197B31">
            <w:pPr>
              <w:autoSpaceDN w:val="0"/>
              <w:spacing w:line="235" w:lineRule="auto"/>
              <w:ind w:left="2207" w:hanging="2269"/>
              <w:contextualSpacing/>
              <w:jc w:val="both"/>
            </w:pPr>
            <w:r w:rsidRPr="00197B31">
              <w:t>2</w:t>
            </w:r>
          </w:p>
        </w:tc>
        <w:tc>
          <w:tcPr>
            <w:tcW w:w="1984" w:type="dxa"/>
          </w:tcPr>
          <w:p w:rsidR="00C66DB5" w:rsidRPr="00197B31" w:rsidRDefault="00C66DB5" w:rsidP="00197B31">
            <w:pPr>
              <w:autoSpaceDN w:val="0"/>
              <w:spacing w:line="235" w:lineRule="auto"/>
              <w:ind w:left="-204" w:firstLine="913"/>
              <w:contextualSpacing/>
              <w:jc w:val="both"/>
            </w:pPr>
            <w:r w:rsidRPr="00197B31">
              <w:t>3</w:t>
            </w:r>
          </w:p>
        </w:tc>
        <w:tc>
          <w:tcPr>
            <w:tcW w:w="1448" w:type="dxa"/>
          </w:tcPr>
          <w:p w:rsidR="00C66DB5" w:rsidRPr="00197B31" w:rsidRDefault="00C66DB5" w:rsidP="00197B31">
            <w:pPr>
              <w:autoSpaceDN w:val="0"/>
              <w:spacing w:line="235" w:lineRule="auto"/>
              <w:ind w:left="-204" w:firstLine="94"/>
              <w:contextualSpacing/>
              <w:jc w:val="both"/>
            </w:pPr>
            <w:r w:rsidRPr="00197B31">
              <w:t>4</w:t>
            </w:r>
          </w:p>
        </w:tc>
        <w:tc>
          <w:tcPr>
            <w:tcW w:w="1449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  <w:r w:rsidRPr="00197B31">
              <w:t>5</w:t>
            </w:r>
          </w:p>
        </w:tc>
        <w:tc>
          <w:tcPr>
            <w:tcW w:w="1449" w:type="dxa"/>
          </w:tcPr>
          <w:p w:rsidR="00C66DB5" w:rsidRPr="00197B31" w:rsidRDefault="00C66DB5" w:rsidP="00197B31">
            <w:pPr>
              <w:autoSpaceDN w:val="0"/>
              <w:spacing w:line="235" w:lineRule="auto"/>
              <w:ind w:left="-204" w:firstLine="913"/>
              <w:contextualSpacing/>
              <w:jc w:val="both"/>
            </w:pPr>
            <w:r w:rsidRPr="00197B31">
              <w:t>6</w:t>
            </w:r>
          </w:p>
        </w:tc>
      </w:tr>
      <w:tr w:rsidR="00C66DB5" w:rsidRPr="00197B31" w:rsidTr="000A083B">
        <w:trPr>
          <w:trHeight w:val="638"/>
        </w:trPr>
        <w:tc>
          <w:tcPr>
            <w:tcW w:w="567" w:type="dxa"/>
            <w:vMerge w:val="restart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  <w:r w:rsidRPr="00197B31">
              <w:t xml:space="preserve">1. </w:t>
            </w:r>
          </w:p>
        </w:tc>
        <w:tc>
          <w:tcPr>
            <w:tcW w:w="2459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  <w:r w:rsidRPr="00197B31">
              <w:t>Объем налогов, уплаченных в местный бюджет, тыс. руб.</w:t>
            </w:r>
          </w:p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  <w:proofErr w:type="gramStart"/>
            <w:r w:rsidRPr="00197B31">
              <w:t>в</w:t>
            </w:r>
            <w:proofErr w:type="gramEnd"/>
            <w:r w:rsidRPr="00197B31">
              <w:t xml:space="preserve"> том числе:</w:t>
            </w:r>
          </w:p>
        </w:tc>
        <w:tc>
          <w:tcPr>
            <w:tcW w:w="1984" w:type="dxa"/>
          </w:tcPr>
          <w:p w:rsidR="00C66DB5" w:rsidRPr="00197B31" w:rsidRDefault="00C66DB5" w:rsidP="00197B31">
            <w:pPr>
              <w:autoSpaceDN w:val="0"/>
              <w:spacing w:line="235" w:lineRule="auto"/>
              <w:ind w:left="314" w:firstLine="913"/>
              <w:contextualSpacing/>
              <w:jc w:val="both"/>
            </w:pPr>
          </w:p>
        </w:tc>
        <w:tc>
          <w:tcPr>
            <w:tcW w:w="1448" w:type="dxa"/>
          </w:tcPr>
          <w:p w:rsidR="00C66DB5" w:rsidRPr="00197B31" w:rsidRDefault="00C66DB5" w:rsidP="00197B31">
            <w:pPr>
              <w:autoSpaceDN w:val="0"/>
              <w:spacing w:line="235" w:lineRule="auto"/>
              <w:ind w:left="-204" w:firstLine="913"/>
              <w:contextualSpacing/>
              <w:jc w:val="both"/>
            </w:pPr>
          </w:p>
        </w:tc>
        <w:tc>
          <w:tcPr>
            <w:tcW w:w="1449" w:type="dxa"/>
          </w:tcPr>
          <w:p w:rsidR="00C66DB5" w:rsidRPr="00197B31" w:rsidRDefault="00C66DB5" w:rsidP="00197B31">
            <w:pPr>
              <w:autoSpaceDN w:val="0"/>
              <w:spacing w:line="235" w:lineRule="auto"/>
              <w:ind w:left="-204" w:firstLine="913"/>
              <w:contextualSpacing/>
              <w:jc w:val="both"/>
            </w:pPr>
          </w:p>
        </w:tc>
        <w:tc>
          <w:tcPr>
            <w:tcW w:w="1449" w:type="dxa"/>
          </w:tcPr>
          <w:p w:rsidR="00C66DB5" w:rsidRPr="00197B31" w:rsidRDefault="00C66DB5" w:rsidP="00197B31">
            <w:pPr>
              <w:autoSpaceDN w:val="0"/>
              <w:spacing w:line="235" w:lineRule="auto"/>
              <w:ind w:left="-204" w:firstLine="913"/>
              <w:contextualSpacing/>
              <w:jc w:val="both"/>
            </w:pPr>
          </w:p>
        </w:tc>
      </w:tr>
      <w:tr w:rsidR="00C66DB5" w:rsidRPr="00197B31" w:rsidTr="000A083B">
        <w:tc>
          <w:tcPr>
            <w:tcW w:w="567" w:type="dxa"/>
            <w:vMerge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</w:p>
        </w:tc>
        <w:tc>
          <w:tcPr>
            <w:tcW w:w="2459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  <w:r w:rsidRPr="00197B31">
              <w:t>-налога на имущество физических лиц</w:t>
            </w:r>
          </w:p>
        </w:tc>
        <w:tc>
          <w:tcPr>
            <w:tcW w:w="1984" w:type="dxa"/>
          </w:tcPr>
          <w:p w:rsidR="00C66DB5" w:rsidRPr="00197B31" w:rsidRDefault="00C66DB5" w:rsidP="00197B31">
            <w:pPr>
              <w:autoSpaceDN w:val="0"/>
              <w:spacing w:line="235" w:lineRule="auto"/>
              <w:ind w:left="-204" w:firstLine="913"/>
              <w:contextualSpacing/>
              <w:jc w:val="both"/>
            </w:pPr>
          </w:p>
        </w:tc>
        <w:tc>
          <w:tcPr>
            <w:tcW w:w="1448" w:type="dxa"/>
          </w:tcPr>
          <w:p w:rsidR="00C66DB5" w:rsidRPr="00197B31" w:rsidRDefault="00C66DB5" w:rsidP="00197B31">
            <w:pPr>
              <w:autoSpaceDN w:val="0"/>
              <w:spacing w:line="235" w:lineRule="auto"/>
              <w:ind w:left="-204" w:firstLine="913"/>
              <w:contextualSpacing/>
              <w:jc w:val="both"/>
            </w:pPr>
          </w:p>
        </w:tc>
        <w:tc>
          <w:tcPr>
            <w:tcW w:w="1449" w:type="dxa"/>
          </w:tcPr>
          <w:p w:rsidR="00C66DB5" w:rsidRPr="00197B31" w:rsidRDefault="00C66DB5" w:rsidP="00197B31">
            <w:pPr>
              <w:autoSpaceDN w:val="0"/>
              <w:spacing w:line="235" w:lineRule="auto"/>
              <w:ind w:left="-204" w:firstLine="913"/>
              <w:contextualSpacing/>
              <w:jc w:val="both"/>
            </w:pPr>
          </w:p>
        </w:tc>
        <w:tc>
          <w:tcPr>
            <w:tcW w:w="1449" w:type="dxa"/>
          </w:tcPr>
          <w:p w:rsidR="00C66DB5" w:rsidRPr="00197B31" w:rsidRDefault="00C66DB5" w:rsidP="00197B31">
            <w:pPr>
              <w:autoSpaceDN w:val="0"/>
              <w:spacing w:line="235" w:lineRule="auto"/>
              <w:ind w:left="-204" w:firstLine="913"/>
              <w:contextualSpacing/>
              <w:jc w:val="both"/>
            </w:pPr>
          </w:p>
        </w:tc>
      </w:tr>
      <w:tr w:rsidR="00C66DB5" w:rsidRPr="00197B31" w:rsidTr="000A083B">
        <w:trPr>
          <w:trHeight w:val="475"/>
        </w:trPr>
        <w:tc>
          <w:tcPr>
            <w:tcW w:w="567" w:type="dxa"/>
            <w:vMerge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</w:p>
        </w:tc>
        <w:tc>
          <w:tcPr>
            <w:tcW w:w="2459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  <w:r w:rsidRPr="00197B31">
              <w:t>-земельного налога</w:t>
            </w:r>
          </w:p>
        </w:tc>
        <w:tc>
          <w:tcPr>
            <w:tcW w:w="1984" w:type="dxa"/>
          </w:tcPr>
          <w:p w:rsidR="00C66DB5" w:rsidRPr="00197B31" w:rsidRDefault="00C66DB5" w:rsidP="00197B31">
            <w:pPr>
              <w:autoSpaceDN w:val="0"/>
              <w:spacing w:line="235" w:lineRule="auto"/>
              <w:ind w:left="-204" w:firstLine="913"/>
              <w:contextualSpacing/>
              <w:jc w:val="both"/>
            </w:pPr>
          </w:p>
        </w:tc>
        <w:tc>
          <w:tcPr>
            <w:tcW w:w="1448" w:type="dxa"/>
          </w:tcPr>
          <w:p w:rsidR="00C66DB5" w:rsidRPr="00197B31" w:rsidRDefault="00C66DB5" w:rsidP="00197B31">
            <w:pPr>
              <w:autoSpaceDN w:val="0"/>
              <w:spacing w:line="235" w:lineRule="auto"/>
              <w:ind w:left="-204" w:firstLine="913"/>
              <w:contextualSpacing/>
              <w:jc w:val="both"/>
            </w:pPr>
          </w:p>
        </w:tc>
        <w:tc>
          <w:tcPr>
            <w:tcW w:w="1449" w:type="dxa"/>
          </w:tcPr>
          <w:p w:rsidR="00C66DB5" w:rsidRPr="00197B31" w:rsidRDefault="00C66DB5" w:rsidP="00197B31">
            <w:pPr>
              <w:autoSpaceDN w:val="0"/>
              <w:spacing w:line="235" w:lineRule="auto"/>
              <w:ind w:left="-204" w:firstLine="913"/>
              <w:contextualSpacing/>
              <w:jc w:val="both"/>
            </w:pPr>
          </w:p>
        </w:tc>
        <w:tc>
          <w:tcPr>
            <w:tcW w:w="1449" w:type="dxa"/>
          </w:tcPr>
          <w:p w:rsidR="00C66DB5" w:rsidRPr="00197B31" w:rsidRDefault="00C66DB5" w:rsidP="00197B31">
            <w:pPr>
              <w:autoSpaceDN w:val="0"/>
              <w:spacing w:line="235" w:lineRule="auto"/>
              <w:ind w:left="-204" w:firstLine="913"/>
              <w:contextualSpacing/>
              <w:jc w:val="both"/>
            </w:pPr>
          </w:p>
        </w:tc>
      </w:tr>
      <w:tr w:rsidR="00C66DB5" w:rsidRPr="00197B31" w:rsidTr="000A083B">
        <w:tc>
          <w:tcPr>
            <w:tcW w:w="567" w:type="dxa"/>
            <w:vMerge w:val="restart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  <w:r w:rsidRPr="00197B31">
              <w:t>2.</w:t>
            </w:r>
          </w:p>
        </w:tc>
        <w:tc>
          <w:tcPr>
            <w:tcW w:w="2459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  <w:r w:rsidRPr="00197B31">
              <w:t>Объем налоговых льгот, тыс. руб.</w:t>
            </w:r>
            <w:r w:rsidRPr="00197B31">
              <w:br/>
              <w:t>в том числе по видам налогов:</w:t>
            </w:r>
          </w:p>
        </w:tc>
        <w:tc>
          <w:tcPr>
            <w:tcW w:w="1984" w:type="dxa"/>
          </w:tcPr>
          <w:p w:rsidR="00C66DB5" w:rsidRPr="00197B31" w:rsidRDefault="00C66DB5" w:rsidP="00197B31">
            <w:pPr>
              <w:autoSpaceDN w:val="0"/>
              <w:spacing w:line="235" w:lineRule="auto"/>
              <w:ind w:left="-204" w:firstLine="913"/>
              <w:contextualSpacing/>
              <w:jc w:val="both"/>
            </w:pPr>
          </w:p>
        </w:tc>
        <w:tc>
          <w:tcPr>
            <w:tcW w:w="1448" w:type="dxa"/>
          </w:tcPr>
          <w:p w:rsidR="00C66DB5" w:rsidRPr="00197B31" w:rsidRDefault="00C66DB5" w:rsidP="00197B31">
            <w:pPr>
              <w:autoSpaceDN w:val="0"/>
              <w:spacing w:line="235" w:lineRule="auto"/>
              <w:ind w:left="-204" w:firstLine="913"/>
              <w:contextualSpacing/>
              <w:jc w:val="both"/>
            </w:pPr>
          </w:p>
        </w:tc>
        <w:tc>
          <w:tcPr>
            <w:tcW w:w="1449" w:type="dxa"/>
          </w:tcPr>
          <w:p w:rsidR="00C66DB5" w:rsidRPr="00197B31" w:rsidRDefault="00C66DB5" w:rsidP="00197B31">
            <w:pPr>
              <w:autoSpaceDN w:val="0"/>
              <w:spacing w:line="235" w:lineRule="auto"/>
              <w:ind w:left="-204" w:firstLine="913"/>
              <w:contextualSpacing/>
              <w:jc w:val="both"/>
            </w:pPr>
          </w:p>
        </w:tc>
        <w:tc>
          <w:tcPr>
            <w:tcW w:w="1449" w:type="dxa"/>
          </w:tcPr>
          <w:p w:rsidR="00C66DB5" w:rsidRPr="00197B31" w:rsidRDefault="00C66DB5" w:rsidP="00197B31">
            <w:pPr>
              <w:autoSpaceDN w:val="0"/>
              <w:spacing w:line="235" w:lineRule="auto"/>
              <w:ind w:left="-204" w:firstLine="913"/>
              <w:contextualSpacing/>
              <w:jc w:val="both"/>
            </w:pPr>
          </w:p>
        </w:tc>
      </w:tr>
      <w:tr w:rsidR="00C66DB5" w:rsidRPr="00197B31" w:rsidTr="000A083B">
        <w:tc>
          <w:tcPr>
            <w:tcW w:w="567" w:type="dxa"/>
            <w:vMerge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</w:p>
        </w:tc>
        <w:tc>
          <w:tcPr>
            <w:tcW w:w="2459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</w:p>
        </w:tc>
        <w:tc>
          <w:tcPr>
            <w:tcW w:w="1984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</w:p>
        </w:tc>
        <w:tc>
          <w:tcPr>
            <w:tcW w:w="1448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</w:p>
        </w:tc>
        <w:tc>
          <w:tcPr>
            <w:tcW w:w="1449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</w:p>
        </w:tc>
        <w:tc>
          <w:tcPr>
            <w:tcW w:w="1449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</w:p>
        </w:tc>
      </w:tr>
      <w:tr w:rsidR="00C66DB5" w:rsidRPr="00197B31" w:rsidTr="000A083B">
        <w:tc>
          <w:tcPr>
            <w:tcW w:w="567" w:type="dxa"/>
            <w:vMerge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</w:p>
        </w:tc>
        <w:tc>
          <w:tcPr>
            <w:tcW w:w="2459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</w:p>
        </w:tc>
        <w:tc>
          <w:tcPr>
            <w:tcW w:w="1984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</w:p>
        </w:tc>
        <w:tc>
          <w:tcPr>
            <w:tcW w:w="1448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</w:p>
        </w:tc>
        <w:tc>
          <w:tcPr>
            <w:tcW w:w="1449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</w:p>
        </w:tc>
        <w:tc>
          <w:tcPr>
            <w:tcW w:w="1449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</w:p>
        </w:tc>
      </w:tr>
      <w:tr w:rsidR="00C66DB5" w:rsidRPr="00197B31" w:rsidTr="000A083B">
        <w:tc>
          <w:tcPr>
            <w:tcW w:w="567" w:type="dxa"/>
            <w:vMerge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</w:p>
        </w:tc>
        <w:tc>
          <w:tcPr>
            <w:tcW w:w="2459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</w:p>
        </w:tc>
        <w:tc>
          <w:tcPr>
            <w:tcW w:w="1984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</w:p>
        </w:tc>
        <w:tc>
          <w:tcPr>
            <w:tcW w:w="1448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</w:p>
        </w:tc>
        <w:tc>
          <w:tcPr>
            <w:tcW w:w="1449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</w:p>
        </w:tc>
        <w:tc>
          <w:tcPr>
            <w:tcW w:w="1449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</w:p>
        </w:tc>
      </w:tr>
      <w:tr w:rsidR="00C66DB5" w:rsidRPr="00197B31" w:rsidTr="000A083B">
        <w:tc>
          <w:tcPr>
            <w:tcW w:w="567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  <w:r w:rsidRPr="00197B31">
              <w:t>3.</w:t>
            </w:r>
          </w:p>
        </w:tc>
        <w:tc>
          <w:tcPr>
            <w:tcW w:w="2459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  <w:r w:rsidRPr="00197B31">
              <w:t>Среднесписочная численность персонала, чел.</w:t>
            </w:r>
          </w:p>
        </w:tc>
        <w:tc>
          <w:tcPr>
            <w:tcW w:w="1984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</w:p>
        </w:tc>
        <w:tc>
          <w:tcPr>
            <w:tcW w:w="1448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</w:p>
        </w:tc>
        <w:tc>
          <w:tcPr>
            <w:tcW w:w="1449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</w:p>
        </w:tc>
        <w:tc>
          <w:tcPr>
            <w:tcW w:w="1449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</w:p>
        </w:tc>
      </w:tr>
      <w:tr w:rsidR="00C66DB5" w:rsidRPr="00197B31" w:rsidTr="000A083B">
        <w:tc>
          <w:tcPr>
            <w:tcW w:w="567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  <w:r w:rsidRPr="00197B31">
              <w:t>4.</w:t>
            </w:r>
          </w:p>
        </w:tc>
        <w:tc>
          <w:tcPr>
            <w:tcW w:w="2459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  <w:r w:rsidRPr="00197B31">
              <w:t>Среднемесячная заработная плата, руб.</w:t>
            </w:r>
          </w:p>
        </w:tc>
        <w:tc>
          <w:tcPr>
            <w:tcW w:w="1984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</w:p>
        </w:tc>
        <w:tc>
          <w:tcPr>
            <w:tcW w:w="1448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</w:p>
        </w:tc>
        <w:tc>
          <w:tcPr>
            <w:tcW w:w="1449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</w:p>
        </w:tc>
        <w:tc>
          <w:tcPr>
            <w:tcW w:w="1449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</w:p>
        </w:tc>
      </w:tr>
      <w:tr w:rsidR="00C66DB5" w:rsidRPr="00197B31" w:rsidTr="000A083B">
        <w:tc>
          <w:tcPr>
            <w:tcW w:w="567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  <w:r w:rsidRPr="00197B31">
              <w:t>5.</w:t>
            </w:r>
          </w:p>
        </w:tc>
        <w:tc>
          <w:tcPr>
            <w:tcW w:w="2459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  <w:r w:rsidRPr="00197B31">
              <w:t>Выручка от продажи товаров, работ, услуг, тыс. руб.</w:t>
            </w:r>
          </w:p>
        </w:tc>
        <w:tc>
          <w:tcPr>
            <w:tcW w:w="1984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</w:p>
        </w:tc>
        <w:tc>
          <w:tcPr>
            <w:tcW w:w="1448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</w:p>
        </w:tc>
        <w:tc>
          <w:tcPr>
            <w:tcW w:w="1449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</w:p>
        </w:tc>
        <w:tc>
          <w:tcPr>
            <w:tcW w:w="1449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</w:p>
        </w:tc>
      </w:tr>
      <w:tr w:rsidR="00C66DB5" w:rsidRPr="00197B31" w:rsidTr="000A083B">
        <w:tc>
          <w:tcPr>
            <w:tcW w:w="567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  <w:r w:rsidRPr="00197B31">
              <w:t>6.</w:t>
            </w:r>
          </w:p>
        </w:tc>
        <w:tc>
          <w:tcPr>
            <w:tcW w:w="2459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  <w:r w:rsidRPr="00197B31">
              <w:t>Прибыль (убыток) до налогообложения, тыс. руб.</w:t>
            </w:r>
          </w:p>
        </w:tc>
        <w:tc>
          <w:tcPr>
            <w:tcW w:w="1984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</w:p>
        </w:tc>
        <w:tc>
          <w:tcPr>
            <w:tcW w:w="1448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</w:p>
        </w:tc>
        <w:tc>
          <w:tcPr>
            <w:tcW w:w="1449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</w:p>
        </w:tc>
        <w:tc>
          <w:tcPr>
            <w:tcW w:w="1449" w:type="dxa"/>
          </w:tcPr>
          <w:p w:rsidR="00C66DB5" w:rsidRPr="00197B31" w:rsidRDefault="00C66DB5" w:rsidP="00197B31">
            <w:pPr>
              <w:autoSpaceDN w:val="0"/>
              <w:spacing w:line="235" w:lineRule="auto"/>
              <w:contextualSpacing/>
              <w:jc w:val="both"/>
            </w:pPr>
          </w:p>
        </w:tc>
      </w:tr>
    </w:tbl>
    <w:p w:rsidR="00C66DB5" w:rsidRPr="00197B31" w:rsidRDefault="00C66DB5" w:rsidP="00197B31">
      <w:pPr>
        <w:jc w:val="both"/>
      </w:pPr>
    </w:p>
    <w:p w:rsidR="00C66DB5" w:rsidRPr="00197B31" w:rsidRDefault="00C66DB5" w:rsidP="00197B31">
      <w:pPr>
        <w:jc w:val="both"/>
      </w:pPr>
    </w:p>
    <w:p w:rsidR="00197B31" w:rsidRDefault="00197B31" w:rsidP="00197B31">
      <w:pPr>
        <w:autoSpaceDN w:val="0"/>
        <w:adjustRightInd w:val="0"/>
        <w:ind w:firstLine="7088"/>
        <w:contextualSpacing/>
        <w:jc w:val="both"/>
        <w:outlineLvl w:val="1"/>
      </w:pPr>
    </w:p>
    <w:p w:rsidR="00197B31" w:rsidRDefault="00197B31" w:rsidP="00197B31">
      <w:pPr>
        <w:autoSpaceDN w:val="0"/>
        <w:adjustRightInd w:val="0"/>
        <w:ind w:firstLine="7088"/>
        <w:contextualSpacing/>
        <w:jc w:val="both"/>
        <w:outlineLvl w:val="1"/>
      </w:pPr>
    </w:p>
    <w:p w:rsidR="00197B31" w:rsidRDefault="00197B31" w:rsidP="00197B31">
      <w:pPr>
        <w:autoSpaceDN w:val="0"/>
        <w:adjustRightInd w:val="0"/>
        <w:ind w:firstLine="7088"/>
        <w:contextualSpacing/>
        <w:jc w:val="both"/>
        <w:outlineLvl w:val="1"/>
      </w:pPr>
    </w:p>
    <w:p w:rsidR="00197B31" w:rsidRDefault="00197B31" w:rsidP="00197B31">
      <w:pPr>
        <w:autoSpaceDN w:val="0"/>
        <w:adjustRightInd w:val="0"/>
        <w:ind w:firstLine="7088"/>
        <w:contextualSpacing/>
        <w:jc w:val="both"/>
        <w:outlineLvl w:val="1"/>
      </w:pPr>
    </w:p>
    <w:p w:rsidR="00197B31" w:rsidRDefault="00197B31" w:rsidP="00197B31">
      <w:pPr>
        <w:autoSpaceDN w:val="0"/>
        <w:adjustRightInd w:val="0"/>
        <w:ind w:firstLine="7088"/>
        <w:contextualSpacing/>
        <w:jc w:val="both"/>
        <w:outlineLvl w:val="1"/>
      </w:pPr>
    </w:p>
    <w:p w:rsidR="00197B31" w:rsidRDefault="00197B31" w:rsidP="00197B31">
      <w:pPr>
        <w:autoSpaceDN w:val="0"/>
        <w:adjustRightInd w:val="0"/>
        <w:ind w:firstLine="7088"/>
        <w:contextualSpacing/>
        <w:jc w:val="both"/>
        <w:outlineLvl w:val="1"/>
      </w:pPr>
    </w:p>
    <w:p w:rsidR="00197B31" w:rsidRDefault="00197B31" w:rsidP="00197B31">
      <w:pPr>
        <w:autoSpaceDN w:val="0"/>
        <w:adjustRightInd w:val="0"/>
        <w:ind w:firstLine="7088"/>
        <w:contextualSpacing/>
        <w:jc w:val="both"/>
        <w:outlineLvl w:val="1"/>
      </w:pPr>
    </w:p>
    <w:p w:rsidR="00197B31" w:rsidRDefault="00197B31" w:rsidP="00197B31">
      <w:pPr>
        <w:autoSpaceDN w:val="0"/>
        <w:adjustRightInd w:val="0"/>
        <w:ind w:firstLine="7088"/>
        <w:contextualSpacing/>
        <w:jc w:val="both"/>
        <w:outlineLvl w:val="1"/>
      </w:pPr>
    </w:p>
    <w:p w:rsidR="00197B31" w:rsidRDefault="00197B31" w:rsidP="00197B31">
      <w:pPr>
        <w:autoSpaceDN w:val="0"/>
        <w:adjustRightInd w:val="0"/>
        <w:ind w:firstLine="7088"/>
        <w:contextualSpacing/>
        <w:jc w:val="both"/>
        <w:outlineLvl w:val="1"/>
      </w:pPr>
    </w:p>
    <w:p w:rsidR="00C66DB5" w:rsidRPr="00197B31" w:rsidRDefault="00C66DB5" w:rsidP="00197B31">
      <w:pPr>
        <w:autoSpaceDN w:val="0"/>
        <w:adjustRightInd w:val="0"/>
        <w:ind w:firstLine="7088"/>
        <w:contextualSpacing/>
        <w:jc w:val="right"/>
        <w:outlineLvl w:val="1"/>
      </w:pPr>
      <w:r w:rsidRPr="00197B31">
        <w:t>Приложение 2 к Порядку</w:t>
      </w:r>
    </w:p>
    <w:p w:rsidR="00C66DB5" w:rsidRPr="00197B31" w:rsidRDefault="00C66DB5" w:rsidP="00197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DB5" w:rsidRPr="00197B31" w:rsidRDefault="00C66DB5" w:rsidP="00197B31">
      <w:pPr>
        <w:jc w:val="center"/>
        <w:rPr>
          <w:b/>
          <w:bCs/>
        </w:rPr>
      </w:pPr>
      <w:bookmarkStart w:id="3" w:name="P71"/>
      <w:bookmarkEnd w:id="3"/>
      <w:r w:rsidRPr="00197B31">
        <w:rPr>
          <w:b/>
          <w:bCs/>
        </w:rPr>
        <w:t>ПЕРЕЧЕНЬ</w:t>
      </w:r>
    </w:p>
    <w:p w:rsidR="00C66DB5" w:rsidRPr="00197B31" w:rsidRDefault="00C66DB5" w:rsidP="00197B31">
      <w:pPr>
        <w:jc w:val="center"/>
        <w:rPr>
          <w:b/>
          <w:bCs/>
        </w:rPr>
      </w:pPr>
      <w:proofErr w:type="gramStart"/>
      <w:r w:rsidRPr="00197B31">
        <w:rPr>
          <w:b/>
          <w:bCs/>
        </w:rPr>
        <w:t>налоговых</w:t>
      </w:r>
      <w:proofErr w:type="gramEnd"/>
      <w:r w:rsidRPr="00197B31">
        <w:rPr>
          <w:b/>
          <w:bCs/>
        </w:rPr>
        <w:t xml:space="preserve"> расходов МО «Тимирязевское сельское поселение»</w:t>
      </w:r>
    </w:p>
    <w:p w:rsidR="00C66DB5" w:rsidRPr="00197B31" w:rsidRDefault="00C66DB5" w:rsidP="00197B31">
      <w:pPr>
        <w:jc w:val="both"/>
        <w:rPr>
          <w:bCs/>
        </w:rPr>
      </w:pPr>
    </w:p>
    <w:tbl>
      <w:tblPr>
        <w:tblW w:w="91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1618"/>
        <w:gridCol w:w="1275"/>
        <w:gridCol w:w="3119"/>
        <w:gridCol w:w="2626"/>
      </w:tblGrid>
      <w:tr w:rsidR="00C66DB5" w:rsidRPr="00197B31" w:rsidTr="000A083B">
        <w:trPr>
          <w:trHeight w:val="4121"/>
        </w:trPr>
        <w:tc>
          <w:tcPr>
            <w:tcW w:w="509" w:type="dxa"/>
          </w:tcPr>
          <w:p w:rsidR="00C66DB5" w:rsidRPr="00197B31" w:rsidRDefault="00C66DB5" w:rsidP="00197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B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18" w:type="dxa"/>
          </w:tcPr>
          <w:p w:rsidR="00C66DB5" w:rsidRPr="00197B31" w:rsidRDefault="00C66DB5" w:rsidP="00197B31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7B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Налоговый расход (налоговая льгота, пониженные ставки, освобождения, </w:t>
            </w:r>
            <w:proofErr w:type="gramStart"/>
            <w:r w:rsidRPr="00197B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иные  преференции</w:t>
            </w:r>
            <w:proofErr w:type="gramEnd"/>
            <w:r w:rsidRPr="00197B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по налогам) МО «Тимирязевское сельское поселение»</w:t>
            </w:r>
          </w:p>
        </w:tc>
        <w:tc>
          <w:tcPr>
            <w:tcW w:w="1275" w:type="dxa"/>
          </w:tcPr>
          <w:p w:rsidR="00C66DB5" w:rsidRPr="00197B31" w:rsidRDefault="00C66DB5" w:rsidP="00197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1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налогового расхода </w:t>
            </w:r>
          </w:p>
        </w:tc>
        <w:tc>
          <w:tcPr>
            <w:tcW w:w="3119" w:type="dxa"/>
          </w:tcPr>
          <w:p w:rsidR="00C66DB5" w:rsidRPr="00197B31" w:rsidRDefault="00C66DB5" w:rsidP="00197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(подпрограмма муниципальной программы) МО «Тимирязевское сельское </w:t>
            </w:r>
            <w:proofErr w:type="spellStart"/>
            <w:proofErr w:type="gramStart"/>
            <w:r w:rsidRPr="00197B31">
              <w:rPr>
                <w:rFonts w:ascii="Times New Roman" w:hAnsi="Times New Roman" w:cs="Times New Roman"/>
                <w:sz w:val="24"/>
                <w:szCs w:val="24"/>
              </w:rPr>
              <w:t>поселение»и</w:t>
            </w:r>
            <w:proofErr w:type="spellEnd"/>
            <w:proofErr w:type="gramEnd"/>
            <w:r w:rsidRPr="00197B31">
              <w:rPr>
                <w:rFonts w:ascii="Times New Roman" w:hAnsi="Times New Roman" w:cs="Times New Roman"/>
                <w:sz w:val="24"/>
                <w:szCs w:val="24"/>
              </w:rPr>
              <w:t xml:space="preserve"> (или) направление социально-экономического развития МО «Тимирязевское сельское </w:t>
            </w:r>
            <w:proofErr w:type="spellStart"/>
            <w:r w:rsidRPr="00197B31">
              <w:rPr>
                <w:rFonts w:ascii="Times New Roman" w:hAnsi="Times New Roman" w:cs="Times New Roman"/>
                <w:sz w:val="24"/>
                <w:szCs w:val="24"/>
              </w:rPr>
              <w:t>поселение»в</w:t>
            </w:r>
            <w:proofErr w:type="spellEnd"/>
            <w:r w:rsidRPr="00197B31">
              <w:rPr>
                <w:rFonts w:ascii="Times New Roman" w:hAnsi="Times New Roman" w:cs="Times New Roman"/>
                <w:sz w:val="24"/>
                <w:szCs w:val="24"/>
              </w:rPr>
              <w:t xml:space="preserve"> целях реализации которых установлены налоговые льготы, освобождения и иные преференций </w:t>
            </w:r>
          </w:p>
        </w:tc>
        <w:tc>
          <w:tcPr>
            <w:tcW w:w="2626" w:type="dxa"/>
          </w:tcPr>
          <w:p w:rsidR="00C66DB5" w:rsidRPr="00197B31" w:rsidRDefault="00C66DB5" w:rsidP="00197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1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(подпрограммы муниципальной программы) МО «Тимирязевское сельское </w:t>
            </w:r>
            <w:proofErr w:type="spellStart"/>
            <w:proofErr w:type="gramStart"/>
            <w:r w:rsidRPr="00197B31">
              <w:rPr>
                <w:rFonts w:ascii="Times New Roman" w:hAnsi="Times New Roman" w:cs="Times New Roman"/>
                <w:sz w:val="24"/>
                <w:szCs w:val="24"/>
              </w:rPr>
              <w:t>поселение»и</w:t>
            </w:r>
            <w:proofErr w:type="spellEnd"/>
            <w:proofErr w:type="gramEnd"/>
            <w:r w:rsidRPr="00197B31">
              <w:rPr>
                <w:rFonts w:ascii="Times New Roman" w:hAnsi="Times New Roman" w:cs="Times New Roman"/>
                <w:sz w:val="24"/>
                <w:szCs w:val="24"/>
              </w:rPr>
              <w:t xml:space="preserve"> (или) цель социально-экономического развития МО «Тимирязевское сельское </w:t>
            </w:r>
            <w:proofErr w:type="spellStart"/>
            <w:r w:rsidRPr="00197B31">
              <w:rPr>
                <w:rFonts w:ascii="Times New Roman" w:hAnsi="Times New Roman" w:cs="Times New Roman"/>
                <w:sz w:val="24"/>
                <w:szCs w:val="24"/>
              </w:rPr>
              <w:t>поселение»на</w:t>
            </w:r>
            <w:proofErr w:type="spellEnd"/>
            <w:r w:rsidRPr="00197B31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которой оказывает влияние налоговый расход</w:t>
            </w:r>
          </w:p>
        </w:tc>
      </w:tr>
      <w:tr w:rsidR="00C66DB5" w:rsidRPr="00197B31" w:rsidTr="000A083B">
        <w:trPr>
          <w:trHeight w:val="225"/>
        </w:trPr>
        <w:tc>
          <w:tcPr>
            <w:tcW w:w="509" w:type="dxa"/>
          </w:tcPr>
          <w:p w:rsidR="00C66DB5" w:rsidRPr="00197B31" w:rsidRDefault="00C66DB5" w:rsidP="00197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C66DB5" w:rsidRPr="00197B31" w:rsidRDefault="00C66DB5" w:rsidP="00197B31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7B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66DB5" w:rsidRPr="00197B31" w:rsidRDefault="00C66DB5" w:rsidP="00197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66DB5" w:rsidRPr="00197B31" w:rsidRDefault="00C66DB5" w:rsidP="00197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6" w:type="dxa"/>
          </w:tcPr>
          <w:p w:rsidR="00C66DB5" w:rsidRPr="00197B31" w:rsidRDefault="00C66DB5" w:rsidP="00197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6DB5" w:rsidRPr="00197B31" w:rsidTr="000A083B">
        <w:trPr>
          <w:trHeight w:val="160"/>
        </w:trPr>
        <w:tc>
          <w:tcPr>
            <w:tcW w:w="509" w:type="dxa"/>
          </w:tcPr>
          <w:p w:rsidR="00C66DB5" w:rsidRPr="00197B31" w:rsidRDefault="00C66DB5" w:rsidP="00197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C66DB5" w:rsidRPr="00197B31" w:rsidRDefault="00C66DB5" w:rsidP="00197B31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DB5" w:rsidRPr="00197B31" w:rsidRDefault="00C66DB5" w:rsidP="00197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66DB5" w:rsidRPr="00197B31" w:rsidRDefault="00C66DB5" w:rsidP="00197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C66DB5" w:rsidRPr="00197B31" w:rsidRDefault="00C66DB5" w:rsidP="00197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DB5" w:rsidRPr="00197B31" w:rsidRDefault="00C66DB5" w:rsidP="00197B31">
      <w:pPr>
        <w:tabs>
          <w:tab w:val="left" w:pos="5352"/>
        </w:tabs>
        <w:jc w:val="both"/>
      </w:pPr>
      <w:r w:rsidRPr="00197B31">
        <w:br/>
      </w:r>
    </w:p>
    <w:p w:rsidR="00C66DB5" w:rsidRPr="00197B31" w:rsidRDefault="00C66DB5" w:rsidP="00197B31">
      <w:pPr>
        <w:jc w:val="both"/>
      </w:pPr>
    </w:p>
    <w:p w:rsidR="00CE37C9" w:rsidRPr="00197B31" w:rsidRDefault="00CE37C9" w:rsidP="00197B31">
      <w:pPr>
        <w:jc w:val="both"/>
        <w:rPr>
          <w:lang w:val="de-DE"/>
        </w:rPr>
      </w:pPr>
    </w:p>
    <w:sectPr w:rsidR="00CE37C9" w:rsidRPr="00197B31" w:rsidSect="00C66DB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E1986"/>
    <w:multiLevelType w:val="hybridMultilevel"/>
    <w:tmpl w:val="3EF0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B5"/>
    <w:rsid w:val="00001972"/>
    <w:rsid w:val="000A23F2"/>
    <w:rsid w:val="00171EA0"/>
    <w:rsid w:val="00197B31"/>
    <w:rsid w:val="00A65409"/>
    <w:rsid w:val="00C66DB5"/>
    <w:rsid w:val="00CE37C9"/>
    <w:rsid w:val="00EC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7DE42-3229-4E66-98E9-DC4990F3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6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66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6DB5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styleId="a4">
    <w:name w:val="Emphasis"/>
    <w:uiPriority w:val="20"/>
    <w:qFormat/>
    <w:rsid w:val="00C66DB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97B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B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DC5427D600D4334D36969A80356365390E997B58BB4B49DC99777CD0BC4B619EAF00DE72A1A392C86DCEC66C673557681920F7C681CBF1gCQ7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2020-01-28T07:27:00Z</cp:lastPrinted>
  <dcterms:created xsi:type="dcterms:W3CDTF">2020-01-28T06:41:00Z</dcterms:created>
  <dcterms:modified xsi:type="dcterms:W3CDTF">2020-04-09T08:17:00Z</dcterms:modified>
</cp:coreProperties>
</file>